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 w:after="40" w:line="264" w:lineRule="auto"/>
      </w:pPr>
      <w:r>
        <w:rPr>
          <w:rFonts w:ascii="Calibri" w:hAnsi="Calibri"/>
          <w:b/>
          <w:color w:val="555555"/>
          <w:sz w:val="20"/>
        </w:rPr>
        <w:t>INVESTOR MEMO</w:t>
      </w:r>
    </w:p>
    <w:p>
      <w:pPr>
        <w:spacing w:before="0" w:after="80" w:line="264" w:lineRule="auto"/>
      </w:pPr>
      <w:r>
        <w:rPr>
          <w:rFonts w:ascii="Calibri" w:hAnsi="Calibri"/>
          <w:b/>
          <w:color w:val="0B2545"/>
          <w:sz w:val="48"/>
        </w:rPr>
        <w:t>SandPro OMP Investor Case Study</w:t>
      </w:r>
    </w:p>
    <w:p>
      <w:pPr>
        <w:spacing w:before="0" w:after="240" w:line="264" w:lineRule="auto"/>
      </w:pPr>
      <w:r>
        <w:rPr>
          <w:rFonts w:ascii="Calibri" w:hAnsi="Calibri"/>
          <w:color w:val="555555"/>
          <w:sz w:val="24"/>
        </w:rPr>
        <w:t>White-label operations management platform with paid validation, regional wedge potential, and AI-leveraged scaling economics.</w:t>
      </w:r>
    </w:p>
    <w:p>
      <w:pPr>
        <w:spacing w:before="0" w:after="40" w:line="264" w:lineRule="auto"/>
      </w:pPr>
      <w:r>
        <w:rPr>
          <w:rFonts w:ascii="Calibri" w:hAnsi="Calibri"/>
          <w:b/>
          <w:color w:val="000000"/>
          <w:sz w:val="21"/>
        </w:rPr>
        <w:t xml:space="preserve">Prepared for: </w:t>
      </w:r>
      <w:r>
        <w:rPr>
          <w:rFonts w:ascii="Calibri" w:hAnsi="Calibri"/>
          <w:color w:val="000000"/>
          <w:sz w:val="21"/>
        </w:rPr>
        <w:t>Investor discussion</w:t>
      </w:r>
    </w:p>
    <w:p>
      <w:pPr>
        <w:spacing w:before="0" w:after="40" w:line="264" w:lineRule="auto"/>
      </w:pPr>
      <w:r>
        <w:rPr>
          <w:rFonts w:ascii="Calibri" w:hAnsi="Calibri"/>
          <w:b/>
          <w:color w:val="000000"/>
          <w:sz w:val="21"/>
        </w:rPr>
        <w:t xml:space="preserve">Date: </w:t>
      </w:r>
      <w:r>
        <w:rPr>
          <w:rFonts w:ascii="Calibri" w:hAnsi="Calibri"/>
          <w:color w:val="000000"/>
          <w:sz w:val="21"/>
        </w:rPr>
        <w:t>May 17, 2026</w:t>
      </w:r>
    </w:p>
    <w:p>
      <w:pPr>
        <w:spacing w:before="0" w:after="40" w:line="264" w:lineRule="auto"/>
      </w:pPr>
      <w:r>
        <w:rPr>
          <w:rFonts w:ascii="Calibri" w:hAnsi="Calibri"/>
          <w:b/>
          <w:color w:val="000000"/>
          <w:sz w:val="21"/>
        </w:rPr>
        <w:t xml:space="preserve">Focus: </w:t>
      </w:r>
      <w:r>
        <w:rPr>
          <w:rFonts w:ascii="Calibri" w:hAnsi="Calibri"/>
          <w:color w:val="000000"/>
          <w:sz w:val="21"/>
        </w:rPr>
        <w:t>SandPro OMP only</w:t>
      </w:r>
    </w:p>
    <w:p>
      <w:pPr>
        <w:spacing w:before="0" w:after="40" w:line="264" w:lineRule="auto"/>
      </w:pPr>
      <w:r>
        <w:rPr>
          <w:rFonts w:ascii="Calibri" w:hAnsi="Calibri"/>
          <w:b/>
          <w:color w:val="000000"/>
          <w:sz w:val="21"/>
        </w:rPr>
        <w:t xml:space="preserve">Status: </w:t>
      </w:r>
      <w:r>
        <w:rPr>
          <w:rFonts w:ascii="Calibri" w:hAnsi="Calibri"/>
          <w:color w:val="000000"/>
          <w:sz w:val="21"/>
        </w:rPr>
        <w:t>Working memo for startup-capital conversation</w:t>
      </w:r>
    </w:p>
    <w:p>
      <w:pPr>
        <w:spacing w:before="200" w:after="200" w:line="264" w:lineRule="auto"/>
        <w:pBdr>
          <w:bottom w:val="single" w:sz="12" w:space="8" w:color="2E74B5"/>
        </w:pBdr>
      </w:pPr>
    </w:p>
    <w:p>
      <w:pPr>
        <w:pStyle w:val="Heading1"/>
      </w:pPr>
      <w:r>
        <w:t>Executive Thesis</w:t>
      </w:r>
    </w:p>
    <w:p>
      <w:pPr>
        <w:spacing w:before="0" w:after="120" w:line="264" w:lineRule="auto"/>
      </w:pPr>
      <w:r>
        <w:rPr>
          <w:b w:val="0"/>
        </w:rPr>
        <w:t>SandPro OMP is an early but commercially validated operations management platform. It has its first recurring client at $599 per month and a near-term relationship path to roughly 10 accounts at the same price point, which would equal $5,990 in monthly recurring revenue and $71,880 in annual recurring revenue before any setup fees, AI features, integrations, or implementation services.</w:t>
      </w:r>
    </w:p>
    <w:p>
      <w:pPr>
        <w:spacing w:before="0" w:after="120" w:line="264" w:lineRule="auto"/>
      </w:pPr>
      <w:r>
        <w:rPr>
          <w:b w:val="0"/>
        </w:rPr>
        <w:t>The opportunity is not that SandPro OMP needs to out-feature monday.com, Asana, Smartsheet, ClickUp, or Jira. The opportunity is that most operating companies do not need more generic software. They need a practical system that captures goals, owners, blockers, files, updates, accountability, and follow-through in the way their company already thinks. SandPro OMP can be sold as a simple white-label operating platform: the customer's logo, colors, terminology, light workflow adjustments, onboarding, and a recurring subscription.</w:t>
      </w:r>
    </w:p>
    <w:p>
      <w:pPr>
        <w:spacing w:before="0" w:after="120" w:line="264" w:lineRule="auto"/>
      </w:pPr>
      <w:r>
        <w:rPr>
          <w:b w:val="0"/>
        </w:rPr>
        <w:t>The business case is strongest when framed as a wedge product for underserved small and mid-sized operating companies. The product is already usable, the first customer is paying, white-label implementation is repeatable, and AI can let a very small team sell, onboard, support, document, test, and iterate at a level that historically required a much larger staff.</w:t>
      </w:r>
    </w:p>
    <w:p>
      <w:pPr>
        <w:spacing w:before="0" w:after="120" w:line="264" w:lineRule="auto"/>
      </w:pPr>
      <w:r>
        <w:rPr>
          <w:b w:val="0"/>
        </w:rPr>
        <w:t>This memo treats the current $599 per month subscription as the base case. Setup, AI, workflow automation, reporting, integrations, and custom implementation are modeled as upside rather than assumed core revenue.</w:t>
      </w:r>
    </w:p>
    <w:p>
      <w:pPr>
        <w:pStyle w:val="Heading1"/>
      </w:pPr>
      <w:r>
        <w:t>What SandPro OMP Is Today</w:t>
      </w:r>
    </w:p>
    <w:p>
      <w:pPr>
        <w:spacing w:before="0" w:after="120" w:line="264" w:lineRule="auto"/>
      </w:pPr>
      <w:r>
        <w:rPr>
          <w:b w:val="0"/>
        </w:rPr>
        <w:t>SandPro OMP is a white-label operations management platform built around execution discipline. The current product already supports the key workflow surfaces an operating company expects:</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4680"/>
        <w:gridCol w:w="4680"/>
      </w:tblGrid>
      <w:tr>
        <w:tc>
          <w:tcPr>
            <w:tcW w:type="dxa" w:w="2586"/>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Capability</w:t>
            </w:r>
          </w:p>
        </w:tc>
        <w:tc>
          <w:tcPr>
            <w:tcW w:type="dxa" w:w="6774"/>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Current product proof</w:t>
            </w:r>
          </w:p>
        </w:tc>
      </w:tr>
      <w:tr>
        <w:tc>
          <w:tcPr>
            <w:tcW w:type="dxa" w:w="258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Objective management</w:t>
            </w:r>
          </w:p>
        </w:tc>
        <w:tc>
          <w:tcPr>
            <w:tcW w:type="dxa" w:w="677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Company, team, and individual objective tracking with status, ownership, priority, and filtering</w:t>
            </w:r>
          </w:p>
        </w:tc>
      </w:tr>
      <w:tr>
        <w:tc>
          <w:tcPr>
            <w:tcW w:type="dxa" w:w="258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Accountability</w:t>
            </w:r>
          </w:p>
        </w:tc>
        <w:tc>
          <w:tcPr>
            <w:tcW w:type="dxa" w:w="677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Delegation, acknowledgement, objective members/watchers, access roles, deep links, and at-risk/blocker visibility</w:t>
            </w:r>
          </w:p>
        </w:tc>
      </w:tr>
      <w:tr>
        <w:tc>
          <w:tcPr>
            <w:tcW w:type="dxa" w:w="258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Execution detail</w:t>
            </w:r>
          </w:p>
        </w:tc>
        <w:tc>
          <w:tcPr>
            <w:tcW w:type="dxa" w:w="677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Subtasks, milestones, owners, dates, weights, metric check-ins, and parent rollups</w:t>
            </w:r>
          </w:p>
        </w:tc>
      </w:tr>
      <w:tr>
        <w:tc>
          <w:tcPr>
            <w:tcW w:type="dxa" w:w="258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Communication</w:t>
            </w:r>
          </w:p>
        </w:tc>
        <w:tc>
          <w:tcPr>
            <w:tcW w:type="dxa" w:w="677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Messages, comments, file attachments, private objective file storage, previews, downloads, and cleanup</w:t>
            </w:r>
          </w:p>
        </w:tc>
      </w:tr>
      <w:tr>
        <w:tc>
          <w:tcPr>
            <w:tcW w:type="dxa" w:w="258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Management visibility</w:t>
            </w:r>
          </w:p>
        </w:tc>
        <w:tc>
          <w:tcPr>
            <w:tcW w:type="dxa" w:w="677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Dashboard KPI drilldowns, list/grid/kanban views, shared filter model, clear empty states, and activity export</w:t>
            </w:r>
          </w:p>
        </w:tc>
      </w:tr>
      <w:tr>
        <w:tc>
          <w:tcPr>
            <w:tcW w:type="dxa" w:w="258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Admin readiness</w:t>
            </w:r>
          </w:p>
        </w:tc>
        <w:tc>
          <w:tcPr>
            <w:tcW w:type="dxa" w:w="677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User invites, exports, settings, notification preferences, in-app notifications, and email delivery</w:t>
            </w:r>
          </w:p>
        </w:tc>
      </w:tr>
      <w:tr>
        <w:tc>
          <w:tcPr>
            <w:tcW w:type="dxa" w:w="258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Release discipline</w:t>
            </w:r>
          </w:p>
        </w:tc>
        <w:tc>
          <w:tcPr>
            <w:tcW w:type="dxa" w:w="677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Lint/build/unit/schema/PWA/accessibility checks, staging E2E, production smoke testing, and evidence capture</w:t>
            </w:r>
          </w:p>
        </w:tc>
      </w:tr>
    </w:tbl>
    <w:p>
      <w:pPr>
        <w:spacing w:before="40" w:after="160" w:line="264" w:lineRule="auto"/>
      </w:pPr>
    </w:p>
    <w:p>
      <w:pPr>
        <w:spacing w:before="0" w:after="120" w:line="264" w:lineRule="auto"/>
      </w:pPr>
      <w:r>
        <w:rPr>
          <w:b w:val="0"/>
        </w:rPr>
        <w:t>The current SandPro deployment is not a prototype in the abstract. It is a real SaaS-style product with authentication, role-based organization structure, private storage, recurring notifications, release checks, and a paid customer relationship.</w:t>
      </w:r>
    </w:p>
    <w:p>
      <w:pPr>
        <w:pStyle w:val="Heading1"/>
      </w:pPr>
      <w:r>
        <w:t>White-Label Model</w:t>
      </w:r>
    </w:p>
    <w:p>
      <w:pPr>
        <w:spacing w:before="0" w:after="120" w:line="264" w:lineRule="auto"/>
      </w:pPr>
      <w:r>
        <w:rPr>
          <w:b w:val="0"/>
        </w:rPr>
        <w:t>The standard sale should stay intentionally simple:</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3120"/>
        <w:gridCol w:w="3120"/>
        <w:gridCol w:w="3120"/>
      </w:tblGrid>
      <w:tr>
        <w:tc>
          <w:tcPr>
            <w:tcW w:type="dxa" w:w="1316"/>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Package layer</w:t>
            </w:r>
          </w:p>
        </w:tc>
        <w:tc>
          <w:tcPr>
            <w:tcW w:type="dxa" w:w="4021"/>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Included by default</w:t>
            </w:r>
          </w:p>
        </w:tc>
        <w:tc>
          <w:tcPr>
            <w:tcW w:type="dxa" w:w="4023"/>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Paid expansion opportunity</w:t>
            </w:r>
          </w:p>
        </w:tc>
      </w:tr>
      <w:tr>
        <w:tc>
          <w:tcPr>
            <w:tcW w:type="dxa" w:w="131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Branding</w:t>
            </w:r>
          </w:p>
        </w:tc>
        <w:tc>
          <w:tcPr>
            <w:tcW w:type="dxa" w:w="402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Customer logo, color scheme, login/app presentation, basic terminology</w:t>
            </w:r>
          </w:p>
        </w:tc>
        <w:tc>
          <w:tcPr>
            <w:tcW w:type="dxa" w:w="402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Brand-specific reporting, customer portals, multi-brand rollouts</w:t>
            </w:r>
          </w:p>
        </w:tc>
      </w:tr>
      <w:tr>
        <w:tc>
          <w:tcPr>
            <w:tcW w:type="dxa" w:w="131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Workflow fit</w:t>
            </w:r>
          </w:p>
        </w:tc>
        <w:tc>
          <w:tcPr>
            <w:tcW w:type="dxa" w:w="402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Light adjustment to objective types, statuses, roles, and dashboards</w:t>
            </w:r>
          </w:p>
        </w:tc>
        <w:tc>
          <w:tcPr>
            <w:tcW w:type="dxa" w:w="402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Custom templates, department packs, industry workflows</w:t>
            </w:r>
          </w:p>
        </w:tc>
      </w:tr>
      <w:tr>
        <w:tc>
          <w:tcPr>
            <w:tcW w:type="dxa" w:w="131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Onboarding</w:t>
            </w:r>
          </w:p>
        </w:tc>
        <w:tc>
          <w:tcPr>
            <w:tcW w:type="dxa" w:w="402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Admin setup, first objectives, user invitation, short training</w:t>
            </w:r>
          </w:p>
        </w:tc>
        <w:tc>
          <w:tcPr>
            <w:tcW w:type="dxa" w:w="402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Done-for-you migration, SOP creation, leadership coaching</w:t>
            </w:r>
          </w:p>
        </w:tc>
      </w:tr>
      <w:tr>
        <w:tc>
          <w:tcPr>
            <w:tcW w:type="dxa" w:w="131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Recurring platform</w:t>
            </w:r>
          </w:p>
        </w:tc>
        <w:tc>
          <w:tcPr>
            <w:tcW w:type="dxa" w:w="402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$599/month core subscription</w:t>
            </w:r>
          </w:p>
        </w:tc>
        <w:tc>
          <w:tcPr>
            <w:tcW w:type="dxa" w:w="402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AI features, advanced reporting, integrations, automations, premium support</w:t>
            </w:r>
          </w:p>
        </w:tc>
      </w:tr>
      <w:tr>
        <w:tc>
          <w:tcPr>
            <w:tcW w:type="dxa" w:w="131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Implementation</w:t>
            </w:r>
          </w:p>
        </w:tc>
        <w:tc>
          <w:tcPr>
            <w:tcW w:type="dxa" w:w="402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Basic setup can be bundled or charged separately</w:t>
            </w:r>
          </w:p>
        </w:tc>
        <w:tc>
          <w:tcPr>
            <w:tcW w:type="dxa" w:w="402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$1,500-$5,000+ onboarding packages depending on complexity</w:t>
            </w:r>
          </w:p>
        </w:tc>
      </w:tr>
    </w:tbl>
    <w:p>
      <w:pPr>
        <w:spacing w:before="40" w:after="160" w:line="264" w:lineRule="auto"/>
      </w:pPr>
    </w:p>
    <w:p>
      <w:pPr>
        <w:spacing w:before="0" w:after="120" w:line="264" w:lineRule="auto"/>
      </w:pPr>
      <w:r>
        <w:rPr>
          <w:b w:val="0"/>
        </w:rPr>
        <w:t>This matters because the product can avoid a common early SaaS trap: endlessly rebuilding the app for every customer. The white-label promise should be "made to feel like yours," not "custom software from scratch."</w:t>
      </w:r>
    </w:p>
    <w:p>
      <w:pPr>
        <w:pStyle w:val="Heading1"/>
      </w:pPr>
      <w:r>
        <w:t>Why The Category Is Real</w:t>
      </w:r>
    </w:p>
    <w:p>
      <w:pPr>
        <w:spacing w:before="0" w:after="120" w:line="264" w:lineRule="auto"/>
      </w:pPr>
      <w:r>
        <w:rPr>
          <w:b w:val="0"/>
        </w:rPr>
        <w:t>The demand for work-management and collaborative operations platforms is already proven at large scale:</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3120"/>
        <w:gridCol w:w="3120"/>
        <w:gridCol w:w="3120"/>
      </w:tblGrid>
      <w:tr>
        <w:tc>
          <w:tcPr>
            <w:tcW w:type="dxa" w:w="1123"/>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Product/company</w:t>
            </w:r>
          </w:p>
        </w:tc>
        <w:tc>
          <w:tcPr>
            <w:tcW w:type="dxa" w:w="4118"/>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Relevant proof point</w:t>
            </w:r>
          </w:p>
        </w:tc>
        <w:tc>
          <w:tcPr>
            <w:tcW w:type="dxa" w:w="4119"/>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What it proves for SandPro OMP</w:t>
            </w:r>
          </w:p>
        </w:tc>
      </w:tr>
      <w:tr>
        <w:tc>
          <w:tcPr>
            <w:tcW w:type="dxa" w:w="112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monday.com</w:t>
            </w:r>
          </w:p>
        </w:tc>
        <w:tc>
          <w:tcPr>
            <w:tcW w:type="dxa" w:w="411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Over 250,000 paying customers as of Dec. 31, 2025, with $1.232B in 2025 revenue and 4,281 customers above $50k ARR</w:t>
            </w:r>
          </w:p>
        </w:tc>
        <w:tc>
          <w:tcPr>
            <w:tcW w:type="dxa" w:w="411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Flexible work platforms can become mission-critical across many industries</w:t>
            </w:r>
          </w:p>
        </w:tc>
      </w:tr>
      <w:tr>
        <w:tc>
          <w:tcPr>
            <w:tcW w:type="dxa" w:w="112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Asana</w:t>
            </w:r>
          </w:p>
        </w:tc>
        <w:tc>
          <w:tcPr>
            <w:tcW w:type="dxa" w:w="411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$723.9M FY2025 revenue; 24,062 customers spending $5k+ annually; 726 spending $100k+ annually</w:t>
            </w:r>
          </w:p>
        </w:tc>
        <w:tc>
          <w:tcPr>
            <w:tcW w:type="dxa" w:w="411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Companies pay for structured work visibility when it becomes part of management rhythm</w:t>
            </w:r>
          </w:p>
        </w:tc>
      </w:tr>
      <w:tr>
        <w:tc>
          <w:tcPr>
            <w:tcW w:type="dxa" w:w="112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Smartsheet</w:t>
            </w:r>
          </w:p>
        </w:tc>
        <w:tc>
          <w:tcPr>
            <w:tcW w:type="dxa" w:w="411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$1.031B ARR in FY2024; average ARR per domain-based customer of $9,672; 19,818 customers above $5k ARR</w:t>
            </w:r>
          </w:p>
        </w:tc>
        <w:tc>
          <w:tcPr>
            <w:tcW w:type="dxa" w:w="411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Spreadsheet-adjacent operations platforms can command meaningful account-level revenue</w:t>
            </w:r>
          </w:p>
        </w:tc>
      </w:tr>
      <w:tr>
        <w:tc>
          <w:tcPr>
            <w:tcW w:type="dxa" w:w="112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Atlassian/Jira</w:t>
            </w:r>
          </w:p>
        </w:tc>
        <w:tc>
          <w:tcPr>
            <w:tcW w:type="dxa" w:w="411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300,000+ customers and 5,700+ marketplace apps</w:t>
            </w:r>
          </w:p>
        </w:tc>
        <w:tc>
          <w:tcPr>
            <w:tcW w:type="dxa" w:w="411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Work systems expand through workflows, add-ons, integrations, and ecosystem use cases</w:t>
            </w:r>
          </w:p>
        </w:tc>
      </w:tr>
      <w:tr>
        <w:tc>
          <w:tcPr>
            <w:tcW w:type="dxa" w:w="112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ClickUp</w:t>
            </w:r>
          </w:p>
        </w:tc>
        <w:tc>
          <w:tcPr>
            <w:tcW w:type="dxa" w:w="411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Public customer material references 5M+ teams running on ClickUp</w:t>
            </w:r>
          </w:p>
        </w:tc>
        <w:tc>
          <w:tcPr>
            <w:tcW w:type="dxa" w:w="411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SMB and team-level work consolidation is a mass-market behavior, not a niche</w:t>
            </w:r>
          </w:p>
        </w:tc>
      </w:tr>
    </w:tbl>
    <w:p>
      <w:pPr>
        <w:spacing w:before="40" w:after="160" w:line="264" w:lineRule="auto"/>
      </w:pPr>
    </w:p>
    <w:p>
      <w:pPr>
        <w:spacing w:before="0" w:after="120" w:line="264" w:lineRule="auto"/>
      </w:pPr>
      <w:r>
        <w:rPr>
          <w:b w:val="0"/>
        </w:rPr>
        <w:t>These products are not perfect substitutes for SandPro OMP. They prove that the market already believes in operational visibility, task ownership, project accountability, and cross-team execution tools. SandPro OMP's wedge is simpler and more local: a white-label operating platform for businesses that want the outcome of a work-management system without buying, configuring, and governing a broad enterprise platform.</w:t>
      </w:r>
    </w:p>
    <w:p>
      <w:pPr>
        <w:pStyle w:val="Heading1"/>
      </w:pPr>
      <w:r>
        <w:t>Regional Conservative Market</w:t>
      </w:r>
    </w:p>
    <w:p>
      <w:pPr>
        <w:spacing w:before="0" w:after="120" w:line="264" w:lineRule="auto"/>
      </w:pPr>
      <w:r>
        <w:rPr>
          <w:b w:val="0"/>
        </w:rPr>
        <w:t>The conservative case should not begin with a national TAM. It should begin with North Dakota, then the surrounding practical relationship region: South Dakota, Minnesota, and Montana.</w:t>
      </w:r>
    </w:p>
    <w:p>
      <w:pPr>
        <w:spacing w:before="0" w:after="120" w:line="264" w:lineRule="auto"/>
      </w:pPr>
      <w:r>
        <w:rPr>
          <w:b w:val="0"/>
        </w:rPr>
        <w:t>SBA 2025 state profiles show the following small-business base:</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2340"/>
        <w:gridCol w:w="2340"/>
        <w:gridCol w:w="2340"/>
        <w:gridCol w:w="2340"/>
      </w:tblGrid>
      <w:tr>
        <w:tc>
          <w:tcPr>
            <w:tcW w:type="dxa" w:w="1011"/>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State</w:t>
            </w:r>
          </w:p>
        </w:tc>
        <w:tc>
          <w:tcPr>
            <w:tcW w:type="dxa" w:w="1349"/>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Small businesses</w:t>
            </w:r>
          </w:p>
        </w:tc>
        <w:tc>
          <w:tcPr>
            <w:tcW w:type="dxa" w:w="4047"/>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Employer small businesses from SBA profile table</w:t>
            </w:r>
          </w:p>
        </w:tc>
        <w:tc>
          <w:tcPr>
            <w:tcW w:type="dxa" w:w="2953"/>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BLS covered establishments, Q3 2025</w:t>
            </w:r>
          </w:p>
        </w:tc>
      </w:tr>
      <w:tr>
        <w:tc>
          <w:tcPr>
            <w:tcW w:type="dxa" w:w="101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North Dakota</w:t>
            </w:r>
          </w:p>
        </w:tc>
        <w:tc>
          <w:tcPr>
            <w:tcW w:type="dxa" w:w="134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78,219</w:t>
            </w:r>
          </w:p>
        </w:tc>
        <w:tc>
          <w:tcPr>
            <w:tcW w:type="dxa" w:w="404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19,113</w:t>
            </w:r>
          </w:p>
        </w:tc>
        <w:tc>
          <w:tcPr>
            <w:tcW w:type="dxa" w:w="295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36,700</w:t>
            </w:r>
          </w:p>
        </w:tc>
      </w:tr>
      <w:tr>
        <w:tc>
          <w:tcPr>
            <w:tcW w:type="dxa" w:w="101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South Dakota</w:t>
            </w:r>
          </w:p>
        </w:tc>
        <w:tc>
          <w:tcPr>
            <w:tcW w:type="dxa" w:w="134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96,770</w:t>
            </w:r>
          </w:p>
        </w:tc>
        <w:tc>
          <w:tcPr>
            <w:tcW w:type="dxa" w:w="404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22,742</w:t>
            </w:r>
          </w:p>
        </w:tc>
        <w:tc>
          <w:tcPr>
            <w:tcW w:type="dxa" w:w="295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40,900</w:t>
            </w:r>
          </w:p>
        </w:tc>
      </w:tr>
      <w:tr>
        <w:tc>
          <w:tcPr>
            <w:tcW w:type="dxa" w:w="101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Minnesota</w:t>
            </w:r>
          </w:p>
        </w:tc>
        <w:tc>
          <w:tcPr>
            <w:tcW w:type="dxa" w:w="134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560,428</w:t>
            </w:r>
          </w:p>
        </w:tc>
        <w:tc>
          <w:tcPr>
            <w:tcW w:type="dxa" w:w="404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118,083</w:t>
            </w:r>
          </w:p>
        </w:tc>
        <w:tc>
          <w:tcPr>
            <w:tcW w:type="dxa" w:w="295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214,300</w:t>
            </w:r>
          </w:p>
        </w:tc>
      </w:tr>
      <w:tr>
        <w:tc>
          <w:tcPr>
            <w:tcW w:type="dxa" w:w="101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Montana</w:t>
            </w:r>
          </w:p>
        </w:tc>
        <w:tc>
          <w:tcPr>
            <w:tcW w:type="dxa" w:w="134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141,011</w:t>
            </w:r>
          </w:p>
        </w:tc>
        <w:tc>
          <w:tcPr>
            <w:tcW w:type="dxa" w:w="404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35,077</w:t>
            </w:r>
          </w:p>
        </w:tc>
        <w:tc>
          <w:tcPr>
            <w:tcW w:type="dxa" w:w="295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64,600</w:t>
            </w:r>
          </w:p>
        </w:tc>
      </w:tr>
      <w:tr>
        <w:tc>
          <w:tcPr>
            <w:tcW w:type="dxa" w:w="101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Total</w:t>
            </w:r>
          </w:p>
        </w:tc>
        <w:tc>
          <w:tcPr>
            <w:tcW w:type="dxa" w:w="134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876,428</w:t>
            </w:r>
          </w:p>
        </w:tc>
        <w:tc>
          <w:tcPr>
            <w:tcW w:type="dxa" w:w="404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195,015</w:t>
            </w:r>
          </w:p>
        </w:tc>
        <w:tc>
          <w:tcPr>
            <w:tcW w:type="dxa" w:w="295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356,500</w:t>
            </w:r>
          </w:p>
        </w:tc>
      </w:tr>
    </w:tbl>
    <w:p>
      <w:pPr>
        <w:spacing w:before="40" w:after="160" w:line="264" w:lineRule="auto"/>
      </w:pPr>
    </w:p>
    <w:p>
      <w:pPr>
        <w:spacing w:before="0" w:after="120" w:line="264" w:lineRule="auto"/>
      </w:pPr>
      <w:r>
        <w:rPr>
          <w:b w:val="0"/>
        </w:rPr>
        <w:t>The useful conservative denominator is not every business. It is employer businesses that have enough people, roles, files, delegation, and recurring management pain to justify $599 per month. Even using the narrower employer-small-business count of roughly 195,000, the following penetration levels are small:</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2340"/>
        <w:gridCol w:w="2340"/>
        <w:gridCol w:w="2340"/>
        <w:gridCol w:w="2340"/>
      </w:tblGrid>
      <w:tr>
        <w:tc>
          <w:tcPr>
            <w:tcW w:type="dxa" w:w="1850"/>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Regional accounts</w:t>
            </w:r>
          </w:p>
        </w:tc>
        <w:tc>
          <w:tcPr>
            <w:tcW w:type="dxa" w:w="4026"/>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Share of employer-small-business base</w:t>
            </w:r>
          </w:p>
        </w:tc>
        <w:tc>
          <w:tcPr>
            <w:tcW w:type="dxa" w:w="2612"/>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Core MRR at $599/account</w:t>
            </w:r>
          </w:p>
        </w:tc>
        <w:tc>
          <w:tcPr>
            <w:tcW w:type="dxa" w:w="872"/>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Core ARR</w:t>
            </w:r>
          </w:p>
        </w:tc>
      </w:tr>
      <w:tr>
        <w:tc>
          <w:tcPr>
            <w:tcW w:type="dxa" w:w="185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10</w:t>
            </w:r>
          </w:p>
        </w:tc>
        <w:tc>
          <w:tcPr>
            <w:tcW w:type="dxa" w:w="402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0.005%</w:t>
            </w:r>
          </w:p>
        </w:tc>
        <w:tc>
          <w:tcPr>
            <w:tcW w:type="dxa" w:w="261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$5,990</w:t>
            </w:r>
          </w:p>
        </w:tc>
        <w:tc>
          <w:tcPr>
            <w:tcW w:type="dxa" w:w="87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$71,880</w:t>
            </w:r>
          </w:p>
        </w:tc>
      </w:tr>
      <w:tr>
        <w:tc>
          <w:tcPr>
            <w:tcW w:type="dxa" w:w="185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25</w:t>
            </w:r>
          </w:p>
        </w:tc>
        <w:tc>
          <w:tcPr>
            <w:tcW w:type="dxa" w:w="402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0.013%</w:t>
            </w:r>
          </w:p>
        </w:tc>
        <w:tc>
          <w:tcPr>
            <w:tcW w:type="dxa" w:w="261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$14,975</w:t>
            </w:r>
          </w:p>
        </w:tc>
        <w:tc>
          <w:tcPr>
            <w:tcW w:type="dxa" w:w="87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$179,700</w:t>
            </w:r>
          </w:p>
        </w:tc>
      </w:tr>
      <w:tr>
        <w:tc>
          <w:tcPr>
            <w:tcW w:type="dxa" w:w="185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50</w:t>
            </w:r>
          </w:p>
        </w:tc>
        <w:tc>
          <w:tcPr>
            <w:tcW w:type="dxa" w:w="402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0.026%</w:t>
            </w:r>
          </w:p>
        </w:tc>
        <w:tc>
          <w:tcPr>
            <w:tcW w:type="dxa" w:w="261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$29,950</w:t>
            </w:r>
          </w:p>
        </w:tc>
        <w:tc>
          <w:tcPr>
            <w:tcW w:type="dxa" w:w="87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$359,400</w:t>
            </w:r>
          </w:p>
        </w:tc>
      </w:tr>
      <w:tr>
        <w:tc>
          <w:tcPr>
            <w:tcW w:type="dxa" w:w="185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75</w:t>
            </w:r>
          </w:p>
        </w:tc>
        <w:tc>
          <w:tcPr>
            <w:tcW w:type="dxa" w:w="402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0.038%</w:t>
            </w:r>
          </w:p>
        </w:tc>
        <w:tc>
          <w:tcPr>
            <w:tcW w:type="dxa" w:w="261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$44,925</w:t>
            </w:r>
          </w:p>
        </w:tc>
        <w:tc>
          <w:tcPr>
            <w:tcW w:type="dxa" w:w="87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$539,100</w:t>
            </w:r>
          </w:p>
        </w:tc>
      </w:tr>
    </w:tbl>
    <w:p>
      <w:pPr>
        <w:spacing w:before="40" w:after="160" w:line="264" w:lineRule="auto"/>
      </w:pPr>
    </w:p>
    <w:p>
      <w:pPr>
        <w:spacing w:before="0" w:after="120" w:line="264" w:lineRule="auto"/>
      </w:pPr>
      <w:r>
        <w:rPr>
          <w:b w:val="0"/>
        </w:rPr>
        <w:t>The conservative case does not require mass adoption. It requires a tiny number of relationship-driven wins in a region with hundreds of thousands of businesses and roughly 195,000 employer small businesses.</w:t>
      </w:r>
    </w:p>
    <w:p>
      <w:pPr>
        <w:pStyle w:val="Heading1"/>
      </w:pPr>
      <w:r>
        <w:t>Scenario Model</w:t>
      </w:r>
    </w:p>
    <w:p>
      <w:pPr>
        <w:spacing w:before="0" w:after="120" w:line="264" w:lineRule="auto"/>
      </w:pPr>
      <w:r>
        <w:rPr>
          <w:b w:val="0"/>
        </w:rPr>
        <w:t>These are operating scenarios, not guaranteed outcomes. The model uses the current $599/month core subscription as the base. Implementation and AI expansion are included as realistic upside, not as required revenue.</w:t>
      </w:r>
    </w:p>
    <w:p>
      <w:pPr>
        <w:pStyle w:val="Heading2"/>
      </w:pPr>
      <w:r>
        <w:t>Scenario Summary</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1337"/>
        <w:gridCol w:w="1337"/>
        <w:gridCol w:w="1337"/>
        <w:gridCol w:w="1337"/>
        <w:gridCol w:w="1337"/>
        <w:gridCol w:w="1337"/>
        <w:gridCol w:w="1337"/>
      </w:tblGrid>
      <w:tr>
        <w:tc>
          <w:tcPr>
            <w:tcW w:type="dxa" w:w="1213"/>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Scenario</w:t>
            </w:r>
          </w:p>
        </w:tc>
        <w:tc>
          <w:tcPr>
            <w:tcW w:type="dxa" w:w="700"/>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Time horizon</w:t>
            </w:r>
          </w:p>
        </w:tc>
        <w:tc>
          <w:tcPr>
            <w:tcW w:type="dxa" w:w="700"/>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Accounts</w:t>
            </w:r>
          </w:p>
        </w:tc>
        <w:tc>
          <w:tcPr>
            <w:tcW w:type="dxa" w:w="1213"/>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Base subscription ARR</w:t>
            </w:r>
          </w:p>
        </w:tc>
        <w:tc>
          <w:tcPr>
            <w:tcW w:type="dxa" w:w="2888"/>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Expansion assumption</w:t>
            </w:r>
          </w:p>
        </w:tc>
        <w:tc>
          <w:tcPr>
            <w:tcW w:type="dxa" w:w="982"/>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Total modeled ARR</w:t>
            </w:r>
          </w:p>
        </w:tc>
        <w:tc>
          <w:tcPr>
            <w:tcW w:type="dxa" w:w="1664"/>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First-year/implementation revenue</w:t>
            </w:r>
          </w:p>
        </w:tc>
      </w:tr>
      <w:tr>
        <w:tc>
          <w:tcPr>
            <w:tcW w:type="dxa" w:w="1213"/>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Conservative regional</w:t>
            </w:r>
          </w:p>
        </w:tc>
        <w:tc>
          <w:tcPr>
            <w:tcW w:type="dxa" w:w="70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24-36 months</w:t>
            </w:r>
          </w:p>
        </w:tc>
        <w:tc>
          <w:tcPr>
            <w:tcW w:type="dxa" w:w="70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50</w:t>
            </w:r>
          </w:p>
        </w:tc>
        <w:tc>
          <w:tcPr>
            <w:tcW w:type="dxa" w:w="1213"/>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$359,400</w:t>
            </w:r>
          </w:p>
        </w:tc>
        <w:tc>
          <w:tcPr>
            <w:tcW w:type="dxa" w:w="2888"/>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20% attach AI/reporting at $199/month</w:t>
            </w:r>
          </w:p>
        </w:tc>
        <w:tc>
          <w:tcPr>
            <w:tcW w:type="dxa" w:w="982"/>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$383,280</w:t>
            </w:r>
          </w:p>
        </w:tc>
        <w:tc>
          <w:tcPr>
            <w:tcW w:type="dxa" w:w="1664"/>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$37,500</w:t>
            </w:r>
          </w:p>
        </w:tc>
      </w:tr>
      <w:tr>
        <w:tc>
          <w:tcPr>
            <w:tcW w:type="dxa" w:w="1213"/>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Mid case</w:t>
            </w:r>
          </w:p>
        </w:tc>
        <w:tc>
          <w:tcPr>
            <w:tcW w:type="dxa" w:w="70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36-48 months</w:t>
            </w:r>
          </w:p>
        </w:tc>
        <w:tc>
          <w:tcPr>
            <w:tcW w:type="dxa" w:w="70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300</w:t>
            </w:r>
          </w:p>
        </w:tc>
        <w:tc>
          <w:tcPr>
            <w:tcW w:type="dxa" w:w="1213"/>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$2,156,400</w:t>
            </w:r>
          </w:p>
        </w:tc>
        <w:tc>
          <w:tcPr>
            <w:tcW w:type="dxa" w:w="2888"/>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35% attach AI/reporting/integrations at $399/month</w:t>
            </w:r>
          </w:p>
        </w:tc>
        <w:tc>
          <w:tcPr>
            <w:tcW w:type="dxa" w:w="982"/>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$2,659,140</w:t>
            </w:r>
          </w:p>
        </w:tc>
        <w:tc>
          <w:tcPr>
            <w:tcW w:type="dxa" w:w="1664"/>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$450,000</w:t>
            </w:r>
          </w:p>
        </w:tc>
      </w:tr>
      <w:tr>
        <w:tc>
          <w:tcPr>
            <w:tcW w:type="dxa" w:w="1213"/>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Home run</w:t>
            </w:r>
          </w:p>
        </w:tc>
        <w:tc>
          <w:tcPr>
            <w:tcW w:type="dxa" w:w="70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48-60 months</w:t>
            </w:r>
          </w:p>
        </w:tc>
        <w:tc>
          <w:tcPr>
            <w:tcW w:type="dxa" w:w="70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1,500</w:t>
            </w:r>
          </w:p>
        </w:tc>
        <w:tc>
          <w:tcPr>
            <w:tcW w:type="dxa" w:w="1213"/>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$10,782,000</w:t>
            </w:r>
          </w:p>
        </w:tc>
        <w:tc>
          <w:tcPr>
            <w:tcW w:type="dxa" w:w="2888"/>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50% attach AI/automation at $699/month</w:t>
            </w:r>
          </w:p>
        </w:tc>
        <w:tc>
          <w:tcPr>
            <w:tcW w:type="dxa" w:w="982"/>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$17,073,000</w:t>
            </w:r>
          </w:p>
        </w:tc>
        <w:tc>
          <w:tcPr>
            <w:tcW w:type="dxa" w:w="1664"/>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$3,675,000</w:t>
            </w:r>
          </w:p>
        </w:tc>
      </w:tr>
    </w:tbl>
    <w:p>
      <w:pPr>
        <w:spacing w:before="40" w:after="160" w:line="264" w:lineRule="auto"/>
      </w:pPr>
    </w:p>
    <w:p>
      <w:pPr>
        <w:pStyle w:val="Heading2"/>
      </w:pPr>
      <w:r>
        <w:t>Conservative Regional Case</w:t>
      </w:r>
    </w:p>
    <w:p>
      <w:pPr>
        <w:spacing w:before="0" w:after="120" w:line="264" w:lineRule="auto"/>
      </w:pPr>
      <w:r>
        <w:rPr>
          <w:b w:val="0"/>
        </w:rPr>
        <w:t>The conservative case assumes SandPro OMP stays relationship-led and regionally focused. Sales come from Jake's personal network, local business owners, referrals, professional service partners, construction/field-service operators, regional manufacturers, property/service firms, and companies that already feel the pain of spreadsheet/email accountability.</w:t>
      </w:r>
    </w:p>
    <w:p>
      <w:pPr>
        <w:spacing w:before="0" w:after="120" w:line="264" w:lineRule="auto"/>
      </w:pPr>
      <w:r>
        <w:rPr>
          <w:b w:val="0"/>
        </w:rPr>
        <w:t>The target is 50 accounts across North Dakota, South Dakota, Minnesota, and Montana over 24-36 months. This equals only 0.026% of the roughly 195,000 employer small businesses in those four states. At 50 accounts, the core subscription alone is $29,950 MRR and $359,400 ARR. With modest AI/reporting attach, modeled ARR becomes $383,280.</w:t>
      </w:r>
    </w:p>
    <w:p>
      <w:pPr>
        <w:spacing w:before="0" w:after="120" w:line="264" w:lineRule="auto"/>
      </w:pPr>
      <w:r>
        <w:rPr>
          <w:b w:val="0"/>
        </w:rPr>
        <w:t>This is the version to lead with for a financially conservative investor because it does not rely on national brand awareness, paid media efficiency, or enterprise sales. It relies on a small number of business owners saying yes to a useful operating tool priced below one additional full-time administrative hire.</w:t>
      </w:r>
    </w:p>
    <w:p>
      <w:pPr>
        <w:pStyle w:val="Heading2"/>
      </w:pPr>
      <w:r>
        <w:t>Mid Case</w:t>
      </w:r>
    </w:p>
    <w:p>
      <w:pPr>
        <w:spacing w:before="0" w:after="120" w:line="264" w:lineRule="auto"/>
      </w:pPr>
      <w:r>
        <w:rPr>
          <w:b w:val="0"/>
        </w:rPr>
        <w:t>The mid case assumes the product becomes repeatable beyond the first local customer segment. The playbook becomes:</w:t>
      </w:r>
    </w:p>
    <w:p>
      <w:pPr>
        <w:pStyle w:val="ListBullet"/>
        <w:spacing w:before="0" w:after="80" w:line="280" w:lineRule="auto"/>
      </w:pPr>
      <w:r>
        <w:rPr>
          <w:b w:val="0"/>
        </w:rPr>
        <w:t>Customer-specific white-label launch in days, not months.</w:t>
      </w:r>
    </w:p>
    <w:p>
      <w:pPr>
        <w:pStyle w:val="ListBullet"/>
        <w:spacing w:before="0" w:after="80" w:line="280" w:lineRule="auto"/>
      </w:pPr>
      <w:r>
        <w:rPr>
          <w:b w:val="0"/>
        </w:rPr>
        <w:t>Fixed onboarding package.</w:t>
      </w:r>
    </w:p>
    <w:p>
      <w:pPr>
        <w:pStyle w:val="ListBullet"/>
        <w:spacing w:before="0" w:after="80" w:line="280" w:lineRule="auto"/>
      </w:pPr>
      <w:r>
        <w:rPr>
          <w:b w:val="0"/>
        </w:rPr>
        <w:t>Department templates for leadership, operations, sales, safety, HR, service, construction, and field work.</w:t>
      </w:r>
    </w:p>
    <w:p>
      <w:pPr>
        <w:pStyle w:val="ListBullet"/>
        <w:spacing w:before="0" w:after="80" w:line="280" w:lineRule="auto"/>
      </w:pPr>
      <w:r>
        <w:rPr>
          <w:b w:val="0"/>
        </w:rPr>
        <w:t>AI-assisted setup, support, documentation, and customer success.</w:t>
      </w:r>
    </w:p>
    <w:p>
      <w:pPr>
        <w:pStyle w:val="ListBullet"/>
        <w:spacing w:before="0" w:after="80" w:line="280" w:lineRule="auto"/>
      </w:pPr>
      <w:r>
        <w:rPr>
          <w:b w:val="0"/>
        </w:rPr>
        <w:t>Referral and partner channels.</w:t>
      </w:r>
    </w:p>
    <w:p>
      <w:pPr>
        <w:pStyle w:val="ListBullet"/>
        <w:spacing w:before="0" w:after="80" w:line="280" w:lineRule="auto"/>
      </w:pPr>
      <w:r>
        <w:rPr>
          <w:b w:val="0"/>
        </w:rPr>
        <w:t>Select custom integrations sold as paid implementation.</w:t>
      </w:r>
    </w:p>
    <w:p>
      <w:pPr>
        <w:spacing w:before="0" w:after="120" w:line="264" w:lineRule="auto"/>
      </w:pPr>
      <w:r>
        <w:rPr>
          <w:b w:val="0"/>
        </w:rPr>
        <w:t>At 300 accounts, the base platform is $179,700 MRR and $2.16M ARR. With 35% of customers adding AI/reporting/integration features at $399 per month, modeled ARR becomes about $2.66M. This is still a small company count relative to the broader work-management market, but it becomes a meaningful SaaS business with enough revenue to support a focused team.</w:t>
      </w:r>
    </w:p>
    <w:p>
      <w:pPr>
        <w:pStyle w:val="Heading2"/>
      </w:pPr>
      <w:r>
        <w:t>Home-Run Case</w:t>
      </w:r>
    </w:p>
    <w:p>
      <w:pPr>
        <w:spacing w:before="0" w:after="120" w:line="264" w:lineRule="auto"/>
      </w:pPr>
      <w:r>
        <w:rPr>
          <w:b w:val="0"/>
        </w:rPr>
        <w:t>The home-run case assumes SandPro OMP becomes a practical horizontal operating platform for companies that do not want enterprise software complexity but need accountability and AI-assisted execution.</w:t>
      </w:r>
    </w:p>
    <w:p>
      <w:pPr>
        <w:spacing w:before="0" w:after="120" w:line="264" w:lineRule="auto"/>
      </w:pPr>
      <w:r>
        <w:rPr>
          <w:b w:val="0"/>
        </w:rPr>
        <w:t>At 1,500 accounts, the base subscription is $898,500 MRR and $10.78M ARR. With half of accounts attaching AI/automation at $699 per month, modeled ARR becomes about $17.07M. Implementation revenue could add several million dollars cumulatively, but the quality of the business would depend on keeping implementation packaged rather than letting services become unbounded custom work.</w:t>
      </w:r>
    </w:p>
    <w:p>
      <w:pPr>
        <w:spacing w:before="0" w:after="120" w:line="264" w:lineRule="auto"/>
      </w:pPr>
      <w:r>
        <w:rPr>
          <w:b w:val="0"/>
        </w:rPr>
        <w:t>This case is not built on dominating the market. It is built on winning a tiny slice of a large, proven category with a clearer promise: a branded operating system that helps a company run itself better.</w:t>
      </w:r>
    </w:p>
    <w:p>
      <w:pPr>
        <w:pStyle w:val="Heading1"/>
      </w:pPr>
      <w:r>
        <w:t>Why AI Changes The Staffing Model</w:t>
      </w:r>
    </w:p>
    <w:p>
      <w:pPr>
        <w:spacing w:before="0" w:after="120" w:line="264" w:lineRule="auto"/>
      </w:pPr>
      <w:r>
        <w:rPr>
          <w:b w:val="0"/>
        </w:rPr>
        <w:t>The AI point should be made carefully. The claim is not that AI eliminates the need for people. The claim is that AI lets each good employee operate with leverage that used to require multiple roles.</w:t>
      </w:r>
    </w:p>
    <w:p>
      <w:pPr>
        <w:spacing w:before="0" w:after="120" w:line="264" w:lineRule="auto"/>
      </w:pPr>
      <w:r>
        <w:rPr>
          <w:b w:val="0"/>
        </w:rPr>
        <w:t>Traditional SaaS scaling often requires separate people or teams for sales collateral, onboarding documents, customer support, QA scripts, implementation mapping, product specs, training content, data cleanup, and internal reporting. With AI embedded into the operating model, one strong operator can supervise much of that work:</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3120"/>
        <w:gridCol w:w="3120"/>
        <w:gridCol w:w="3120"/>
      </w:tblGrid>
      <w:tr>
        <w:tc>
          <w:tcPr>
            <w:tcW w:type="dxa" w:w="1188"/>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Function</w:t>
            </w:r>
          </w:p>
        </w:tc>
        <w:tc>
          <w:tcPr>
            <w:tcW w:type="dxa" w:w="4085"/>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Traditional load</w:t>
            </w:r>
          </w:p>
        </w:tc>
        <w:tc>
          <w:tcPr>
            <w:tcW w:type="dxa" w:w="4087"/>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AI-leveraged SandPro OMP approach</w:t>
            </w:r>
          </w:p>
        </w:tc>
      </w:tr>
      <w:tr>
        <w:tc>
          <w:tcPr>
            <w:tcW w:type="dxa" w:w="118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Sales</w:t>
            </w:r>
          </w:p>
        </w:tc>
        <w:tc>
          <w:tcPr>
            <w:tcW w:type="dxa" w:w="408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Manually write every prospect deck, proposal, follow-up, and ROI narrative</w:t>
            </w:r>
          </w:p>
        </w:tc>
        <w:tc>
          <w:tcPr>
            <w:tcW w:type="dxa" w:w="408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AI drafts account-specific pitch materials, summaries, objections, and follow-ups from a standard source of truth</w:t>
            </w:r>
          </w:p>
        </w:tc>
      </w:tr>
      <w:tr>
        <w:tc>
          <w:tcPr>
            <w:tcW w:type="dxa" w:w="118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Onboarding</w:t>
            </w:r>
          </w:p>
        </w:tc>
        <w:tc>
          <w:tcPr>
            <w:tcW w:type="dxa" w:w="408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Recreate setup docs and training flows for each customer</w:t>
            </w:r>
          </w:p>
        </w:tc>
        <w:tc>
          <w:tcPr>
            <w:tcW w:type="dxa" w:w="408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AI turns discovery notes into customer-specific templates, launch checklists, FAQs, and training guides</w:t>
            </w:r>
          </w:p>
        </w:tc>
      </w:tr>
      <w:tr>
        <w:tc>
          <w:tcPr>
            <w:tcW w:type="dxa" w:w="118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Support</w:t>
            </w:r>
          </w:p>
        </w:tc>
        <w:tc>
          <w:tcPr>
            <w:tcW w:type="dxa" w:w="408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Human reads every ticket, diagnoses pattern, writes answer, updates docs</w:t>
            </w:r>
          </w:p>
        </w:tc>
        <w:tc>
          <w:tcPr>
            <w:tcW w:type="dxa" w:w="408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AI triages tickets, drafts responses, identifies recurring issues, and proposes documentation updates</w:t>
            </w:r>
          </w:p>
        </w:tc>
      </w:tr>
      <w:tr>
        <w:tc>
          <w:tcPr>
            <w:tcW w:type="dxa" w:w="118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Implementation</w:t>
            </w:r>
          </w:p>
        </w:tc>
        <w:tc>
          <w:tcPr>
            <w:tcW w:type="dxa" w:w="408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Analyst maps customer processes into the system manually</w:t>
            </w:r>
          </w:p>
        </w:tc>
        <w:tc>
          <w:tcPr>
            <w:tcW w:type="dxa" w:w="408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AI converts customer SOPs/spreadsheets into objective structures, roles, milestones, and import plans</w:t>
            </w:r>
          </w:p>
        </w:tc>
      </w:tr>
      <w:tr>
        <w:tc>
          <w:tcPr>
            <w:tcW w:type="dxa" w:w="118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Product</w:t>
            </w:r>
          </w:p>
        </w:tc>
        <w:tc>
          <w:tcPr>
            <w:tcW w:type="dxa" w:w="408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PM writes every spec and QA plan from scratch</w:t>
            </w:r>
          </w:p>
        </w:tc>
        <w:tc>
          <w:tcPr>
            <w:tcW w:type="dxa" w:w="408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AI drafts issue specs, acceptance criteria, regression tests, release notes, and customer-facing explanations</w:t>
            </w:r>
          </w:p>
        </w:tc>
      </w:tr>
      <w:tr>
        <w:tc>
          <w:tcPr>
            <w:tcW w:type="dxa" w:w="118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Customer success</w:t>
            </w:r>
          </w:p>
        </w:tc>
        <w:tc>
          <w:tcPr>
            <w:tcW w:type="dxa" w:w="408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Manual review of account health and usage</w:t>
            </w:r>
          </w:p>
        </w:tc>
        <w:tc>
          <w:tcPr>
            <w:tcW w:type="dxa" w:w="408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AI summarizes usage, inactive users, blocker patterns, renewal risks, and expansion opportunities</w:t>
            </w:r>
          </w:p>
        </w:tc>
      </w:tr>
    </w:tbl>
    <w:p>
      <w:pPr>
        <w:spacing w:before="40" w:after="160" w:line="264" w:lineRule="auto"/>
      </w:pPr>
    </w:p>
    <w:p>
      <w:pPr>
        <w:spacing w:before="0" w:after="120" w:line="264" w:lineRule="auto"/>
      </w:pPr>
      <w:r>
        <w:rPr>
          <w:b w:val="0"/>
        </w:rPr>
        <w:t>This is especially important in the first 150 accounts. The company can look much more mature than its headcount because AI helps a small team deliver the artifacts, responsiveness, and operational discipline of a larger organization.</w:t>
      </w:r>
    </w:p>
    <w:p>
      <w:pPr>
        <w:spacing w:before="0" w:after="120" w:line="264" w:lineRule="auto"/>
      </w:pPr>
      <w:r>
        <w:rPr>
          <w:b w:val="0"/>
        </w:rPr>
        <w:t>External evidence supports the direction of this argument:</w:t>
      </w:r>
    </w:p>
    <w:p>
      <w:pPr>
        <w:pStyle w:val="ListBullet"/>
        <w:spacing w:before="0" w:after="80" w:line="280" w:lineRule="auto"/>
      </w:pPr>
      <w:r>
        <w:rPr>
          <w:b w:val="0"/>
        </w:rPr>
        <w:t>PwC's 2025 AI Jobs Barometer found AI-exposed industries had materially higher revenue-per-employee growth, and that AI-skilled workers commanded a wage premium.</w:t>
      </w:r>
    </w:p>
    <w:p>
      <w:pPr>
        <w:pStyle w:val="ListBullet"/>
        <w:spacing w:before="0" w:after="80" w:line="280" w:lineRule="auto"/>
      </w:pPr>
      <w:r>
        <w:rPr>
          <w:b w:val="0"/>
        </w:rPr>
        <w:t>Microsoft's 2025 Work Trend Index describes a shift toward human-agent teams and "agent boss" roles, with leaders expecting to use digital labor to expand capacity.</w:t>
      </w:r>
    </w:p>
    <w:p>
      <w:pPr>
        <w:pStyle w:val="ListBullet"/>
        <w:spacing w:before="0" w:after="80" w:line="280" w:lineRule="auto"/>
      </w:pPr>
      <w:r>
        <w:rPr>
          <w:b w:val="0"/>
        </w:rPr>
        <w:t>McKinsey estimates current generative AI and related technologies have the potential to automate activities that absorb 60-70% of employee time.</w:t>
      </w:r>
    </w:p>
    <w:p>
      <w:pPr>
        <w:pStyle w:val="ListBullet"/>
        <w:spacing w:before="0" w:after="80" w:line="280" w:lineRule="auto"/>
      </w:pPr>
      <w:r>
        <w:rPr>
          <w:b w:val="0"/>
        </w:rPr>
        <w:t>Stanford's 2025 AI Index reports accelerating business AI usage and a growing body of research showing productivity gains.</w:t>
      </w:r>
    </w:p>
    <w:p>
      <w:pPr>
        <w:spacing w:before="0" w:after="120" w:line="264" w:lineRule="auto"/>
      </w:pPr>
      <w:r>
        <w:rPr>
          <w:b w:val="0"/>
        </w:rPr>
        <w:t>The investor-safe phrasing is: AI should allow SandPro OMP to scale farther before adding each incremental employee, but it does not remove the need for accountable human review, customer trust, data security, and high-quality product execution.</w:t>
      </w:r>
    </w:p>
    <w:p>
      <w:pPr>
        <w:pStyle w:val="Heading1"/>
      </w:pPr>
      <w:r>
        <w:t>Overhead And Hiring Plan</w:t>
      </w:r>
    </w:p>
    <w:p>
      <w:pPr>
        <w:pStyle w:val="Heading2"/>
      </w:pPr>
      <w:r>
        <w:t>Customer Stage Plan</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1872"/>
        <w:gridCol w:w="1872"/>
        <w:gridCol w:w="1872"/>
        <w:gridCol w:w="1872"/>
        <w:gridCol w:w="1872"/>
      </w:tblGrid>
      <w:tr>
        <w:tc>
          <w:tcPr>
            <w:tcW w:type="dxa" w:w="700"/>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Account stage</w:t>
            </w:r>
          </w:p>
        </w:tc>
        <w:tc>
          <w:tcPr>
            <w:tcW w:type="dxa" w:w="1141"/>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Approx. recurring revenue</w:t>
            </w:r>
          </w:p>
        </w:tc>
        <w:tc>
          <w:tcPr>
            <w:tcW w:type="dxa" w:w="2511"/>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Operating model</w:t>
            </w:r>
          </w:p>
        </w:tc>
        <w:tc>
          <w:tcPr>
            <w:tcW w:type="dxa" w:w="2511"/>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Likely hires/contractors</w:t>
            </w:r>
          </w:p>
        </w:tc>
        <w:tc>
          <w:tcPr>
            <w:tcW w:type="dxa" w:w="2497"/>
            <w:tcMar>
              <w:top w:w="80" w:type="dxa"/>
              <w:start w:w="120" w:type="dxa"/>
              <w:bottom w:w="80" w:type="dxa"/>
              <w:end w:w="120" w:type="dxa"/>
            </w:tcMar>
            <w:vAlign w:val="center"/>
            <w:shd w:fill="F2F4F7"/>
          </w:tcPr>
          <w:p>
            <w:pPr>
              <w:spacing w:after="0" w:line="252" w:lineRule="auto"/>
            </w:pPr>
            <w:r>
              <w:rPr>
                <w:rFonts w:ascii="Calibri" w:hAnsi="Calibri"/>
                <w:b/>
                <w:color w:val="000000"/>
                <w:sz w:val="16"/>
              </w:rPr>
            </w:r>
            <w:r>
              <w:rPr>
                <w:rFonts w:ascii="Calibri" w:hAnsi="Calibri"/>
                <w:b/>
                <w:color w:val="000000"/>
                <w:sz w:val="16"/>
              </w:rPr>
              <w:t>AI leverage</w:t>
            </w:r>
          </w:p>
        </w:tc>
      </w:tr>
      <w:tr>
        <w:tc>
          <w:tcPr>
            <w:tcW w:type="dxa" w:w="70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1-10 accounts</w:t>
            </w:r>
          </w:p>
        </w:tc>
        <w:tc>
          <w:tcPr>
            <w:tcW w:type="dxa" w:w="114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$599-$5,990 MRR</w:t>
            </w:r>
          </w:p>
        </w:tc>
        <w:tc>
          <w:tcPr>
            <w:tcW w:type="dxa" w:w="251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Founder-led sales, onboarding, support, and product iteration</w:t>
            </w:r>
          </w:p>
        </w:tc>
        <w:tc>
          <w:tcPr>
            <w:tcW w:type="dxa" w:w="251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Contractors only: design, QA, occasional engineering</w:t>
            </w:r>
          </w:p>
        </w:tc>
        <w:tc>
          <w:tcPr>
            <w:tcW w:type="dxa" w:w="2497"/>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AI creates onboarding docs, support drafts, sales follow-ups, bug reports, and customer templates</w:t>
            </w:r>
          </w:p>
        </w:tc>
      </w:tr>
      <w:tr>
        <w:tc>
          <w:tcPr>
            <w:tcW w:type="dxa" w:w="70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10-50 accounts</w:t>
            </w:r>
          </w:p>
        </w:tc>
        <w:tc>
          <w:tcPr>
            <w:tcW w:type="dxa" w:w="114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$5,990-$29,950 MRR</w:t>
            </w:r>
          </w:p>
        </w:tc>
        <w:tc>
          <w:tcPr>
            <w:tcW w:type="dxa" w:w="251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Repeatable onboarding, weekly support rhythm, early customer success process</w:t>
            </w:r>
          </w:p>
        </w:tc>
        <w:tc>
          <w:tcPr>
            <w:tcW w:type="dxa" w:w="251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Part-time customer success/implementation support; contract engineer or QA</w:t>
            </w:r>
          </w:p>
        </w:tc>
        <w:tc>
          <w:tcPr>
            <w:tcW w:type="dxa" w:w="2497"/>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AI handles first-draft support, release notes, training content, account summaries, and test plans</w:t>
            </w:r>
          </w:p>
        </w:tc>
      </w:tr>
      <w:tr>
        <w:tc>
          <w:tcPr>
            <w:tcW w:type="dxa" w:w="70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50-150 accounts</w:t>
            </w:r>
          </w:p>
        </w:tc>
        <w:tc>
          <w:tcPr>
            <w:tcW w:type="dxa" w:w="114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$29,950-$89,850 MRR</w:t>
            </w:r>
          </w:p>
        </w:tc>
        <w:tc>
          <w:tcPr>
            <w:tcW w:type="dxa" w:w="251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Formal implementation playbook, support SLA, renewal tracking, upsell motion</w:t>
            </w:r>
          </w:p>
        </w:tc>
        <w:tc>
          <w:tcPr>
            <w:tcW w:type="dxa" w:w="251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Full-time customer success/implementation lead; part-time support; product engineer; fractional finance/legal</w:t>
            </w:r>
          </w:p>
        </w:tc>
        <w:tc>
          <w:tcPr>
            <w:tcW w:type="dxa" w:w="2497"/>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AI runs internal knowledge base, customer health summaries, SOP generation, issue reproduction, and sales ops</w:t>
            </w:r>
          </w:p>
        </w:tc>
      </w:tr>
      <w:tr>
        <w:tc>
          <w:tcPr>
            <w:tcW w:type="dxa" w:w="700"/>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150+ accounts</w:t>
            </w:r>
          </w:p>
        </w:tc>
        <w:tc>
          <w:tcPr>
            <w:tcW w:type="dxa" w:w="114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$89,850+ MRR</w:t>
            </w:r>
          </w:p>
        </w:tc>
        <w:tc>
          <w:tcPr>
            <w:tcW w:type="dxa" w:w="251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Sales pipeline, account management, security posture, reporting, partner channel</w:t>
            </w:r>
          </w:p>
        </w:tc>
        <w:tc>
          <w:tcPr>
            <w:tcW w:type="dxa" w:w="2511"/>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Sales/BD, support specialist, implementation specialist, product/engineering, security/compliance support</w:t>
            </w:r>
          </w:p>
        </w:tc>
        <w:tc>
          <w:tcPr>
            <w:tcW w:type="dxa" w:w="2497"/>
            <w:tcMar>
              <w:top w:w="80" w:type="dxa"/>
              <w:start w:w="120" w:type="dxa"/>
              <w:bottom w:w="80" w:type="dxa"/>
              <w:end w:w="120" w:type="dxa"/>
            </w:tcMar>
            <w:vAlign w:val="center"/>
          </w:tcPr>
          <w:p>
            <w:pPr>
              <w:spacing w:after="0" w:line="252" w:lineRule="auto"/>
            </w:pPr>
            <w:r>
              <w:rPr>
                <w:rFonts w:ascii="Calibri" w:hAnsi="Calibri"/>
                <w:color w:val="000000"/>
                <w:sz w:val="16"/>
              </w:rPr>
            </w:r>
            <w:r>
              <w:rPr>
                <w:rFonts w:ascii="Calibri" w:hAnsi="Calibri"/>
                <w:b w:val="0"/>
                <w:color w:val="000000"/>
                <w:sz w:val="16"/>
              </w:rPr>
              <w:t>AI becomes the operating layer across support, onboarding, QA, finance reporting, and expansion analysis</w:t>
            </w:r>
          </w:p>
        </w:tc>
      </w:tr>
    </w:tbl>
    <w:p>
      <w:pPr>
        <w:spacing w:before="40" w:after="160" w:line="264" w:lineRule="auto"/>
      </w:pPr>
    </w:p>
    <w:p>
      <w:pPr>
        <w:pStyle w:val="Heading2"/>
      </w:pPr>
      <w:r>
        <w:t>Overhead Categories That Grow</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3120"/>
        <w:gridCol w:w="3120"/>
        <w:gridCol w:w="3120"/>
      </w:tblGrid>
      <w:tr>
        <w:tc>
          <w:tcPr>
            <w:tcW w:type="dxa" w:w="1440"/>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Overhead category</w:t>
            </w:r>
          </w:p>
        </w:tc>
        <w:tc>
          <w:tcPr>
            <w:tcW w:type="dxa" w:w="3960"/>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Why it grows</w:t>
            </w:r>
          </w:p>
        </w:tc>
        <w:tc>
          <w:tcPr>
            <w:tcW w:type="dxa" w:w="3960"/>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Control mechanism</w:t>
            </w:r>
          </w:p>
        </w:tc>
      </w:tr>
      <w:tr>
        <w:tc>
          <w:tcPr>
            <w:tcW w:type="dxa" w:w="144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Cloud infrastructure</w:t>
            </w:r>
          </w:p>
        </w:tc>
        <w:tc>
          <w:tcPr>
            <w:tcW w:type="dxa" w:w="3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More users, files, notifications, API calls, storage, and AI usage</w:t>
            </w:r>
          </w:p>
        </w:tc>
        <w:tc>
          <w:tcPr>
            <w:tcW w:type="dxa" w:w="3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Usage limits, customer-level monitoring, tiered AI pricing</w:t>
            </w:r>
          </w:p>
        </w:tc>
      </w:tr>
      <w:tr>
        <w:tc>
          <w:tcPr>
            <w:tcW w:type="dxa" w:w="144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Support</w:t>
            </w:r>
          </w:p>
        </w:tc>
        <w:tc>
          <w:tcPr>
            <w:tcW w:type="dxa" w:w="3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More accounts create more questions, password issues, feature requests, and training needs</w:t>
            </w:r>
          </w:p>
        </w:tc>
        <w:tc>
          <w:tcPr>
            <w:tcW w:type="dxa" w:w="3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Knowledge base, AI triage, templated onboarding, support tiers</w:t>
            </w:r>
          </w:p>
        </w:tc>
      </w:tr>
      <w:tr>
        <w:tc>
          <w:tcPr>
            <w:tcW w:type="dxa" w:w="144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Implementation</w:t>
            </w:r>
          </w:p>
        </w:tc>
        <w:tc>
          <w:tcPr>
            <w:tcW w:type="dxa" w:w="3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White-label setup and workflow mapping can become time-heavy</w:t>
            </w:r>
          </w:p>
        </w:tc>
        <w:tc>
          <w:tcPr>
            <w:tcW w:type="dxa" w:w="3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Fixed implementation packages and strict customization boundaries</w:t>
            </w:r>
          </w:p>
        </w:tc>
      </w:tr>
      <w:tr>
        <w:tc>
          <w:tcPr>
            <w:tcW w:type="dxa" w:w="144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Engineering</w:t>
            </w:r>
          </w:p>
        </w:tc>
        <w:tc>
          <w:tcPr>
            <w:tcW w:type="dxa" w:w="3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Bugs, scalability, integrations, security, and roadmap work increase with usage</w:t>
            </w:r>
          </w:p>
        </w:tc>
        <w:tc>
          <w:tcPr>
            <w:tcW w:type="dxa" w:w="3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Release matrix, regression tests, roadmap discipline, paid custom work</w:t>
            </w:r>
          </w:p>
        </w:tc>
      </w:tr>
      <w:tr>
        <w:tc>
          <w:tcPr>
            <w:tcW w:type="dxa" w:w="144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Sales and marketing</w:t>
            </w:r>
          </w:p>
        </w:tc>
        <w:tc>
          <w:tcPr>
            <w:tcW w:type="dxa" w:w="3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Relationship sales works early but does not scale alone</w:t>
            </w:r>
          </w:p>
        </w:tc>
        <w:tc>
          <w:tcPr>
            <w:tcW w:type="dxa" w:w="3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Referral system, partner channel, case studies, targeted outreach</w:t>
            </w:r>
          </w:p>
        </w:tc>
      </w:tr>
      <w:tr>
        <w:tc>
          <w:tcPr>
            <w:tcW w:type="dxa" w:w="144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Customer success</w:t>
            </w:r>
          </w:p>
        </w:tc>
        <w:tc>
          <w:tcPr>
            <w:tcW w:type="dxa" w:w="3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Retention depends on management adoption and recurring use</w:t>
            </w:r>
          </w:p>
        </w:tc>
        <w:tc>
          <w:tcPr>
            <w:tcW w:type="dxa" w:w="3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Usage reviews, health scores, executive check-ins, renewal playbook</w:t>
            </w:r>
          </w:p>
        </w:tc>
      </w:tr>
      <w:tr>
        <w:tc>
          <w:tcPr>
            <w:tcW w:type="dxa" w:w="144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Legal/compliance</w:t>
            </w:r>
          </w:p>
        </w:tc>
        <w:tc>
          <w:tcPr>
            <w:tcW w:type="dxa" w:w="3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Contracts, privacy, data security, and customer expectations increase with maturity</w:t>
            </w:r>
          </w:p>
        </w:tc>
        <w:tc>
          <w:tcPr>
            <w:tcW w:type="dxa" w:w="3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Standard MSA/SOW, privacy policy, security checklist, vendor questionnaire packet</w:t>
            </w:r>
          </w:p>
        </w:tc>
      </w:tr>
      <w:tr>
        <w:tc>
          <w:tcPr>
            <w:tcW w:type="dxa" w:w="144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Finance/admin</w:t>
            </w:r>
          </w:p>
        </w:tc>
        <w:tc>
          <w:tcPr>
            <w:tcW w:type="dxa" w:w="3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Subscription billing, collections, taxes, reporting, payroll, and contractor management</w:t>
            </w:r>
          </w:p>
        </w:tc>
        <w:tc>
          <w:tcPr>
            <w:tcW w:type="dxa" w:w="396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Simple billing stack, fractional bookkeeper/CFO support</w:t>
            </w:r>
          </w:p>
        </w:tc>
      </w:tr>
    </w:tbl>
    <w:p>
      <w:pPr>
        <w:spacing w:before="40" w:after="160" w:line="264" w:lineRule="auto"/>
      </w:pPr>
    </w:p>
    <w:p>
      <w:pPr>
        <w:pStyle w:val="Heading1"/>
      </w:pPr>
      <w:r>
        <w:t>Capital Use Ranges</w:t>
      </w:r>
    </w:p>
    <w:p>
      <w:pPr>
        <w:spacing w:before="0" w:after="120" w:line="264" w:lineRule="auto"/>
      </w:pPr>
      <w:r>
        <w:rPr>
          <w:b w:val="0"/>
        </w:rPr>
        <w:t>The investor ask does not need to be a single fixed number yet. A range-based use-of-funds discussion is stronger because it lets the investor see how capital translates into speed and risk reduction.</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3120"/>
        <w:gridCol w:w="3120"/>
        <w:gridCol w:w="3120"/>
      </w:tblGrid>
      <w:tr>
        <w:tc>
          <w:tcPr>
            <w:tcW w:type="dxa" w:w="1056"/>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Capital amount</w:t>
            </w:r>
          </w:p>
        </w:tc>
        <w:tc>
          <w:tcPr>
            <w:tcW w:type="dxa" w:w="4151"/>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What it unlocks</w:t>
            </w:r>
          </w:p>
        </w:tc>
        <w:tc>
          <w:tcPr>
            <w:tcW w:type="dxa" w:w="4153"/>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Practical result</w:t>
            </w:r>
          </w:p>
        </w:tc>
      </w:tr>
      <w:tr>
        <w:tc>
          <w:tcPr>
            <w:tcW w:type="dxa" w:w="105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$50,000</w:t>
            </w:r>
          </w:p>
        </w:tc>
        <w:tc>
          <w:tcPr>
            <w:tcW w:type="dxa" w:w="415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Legal templates, billing cleanup, investor/customer collateral, bug polish, brand templates, limited contractor support</w:t>
            </w:r>
          </w:p>
        </w:tc>
        <w:tc>
          <w:tcPr>
            <w:tcW w:type="dxa" w:w="415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Makes the current product more sellable and reduces founder drag during first 10-20 accounts</w:t>
            </w:r>
          </w:p>
        </w:tc>
      </w:tr>
      <w:tr>
        <w:tc>
          <w:tcPr>
            <w:tcW w:type="dxa" w:w="105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$100,000</w:t>
            </w:r>
          </w:p>
        </w:tc>
        <w:tc>
          <w:tcPr>
            <w:tcW w:type="dxa" w:w="415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Everything above plus part-time customer success/implementation help, deeper QA, customer onboarding assets, partner outreach, and AI feature packaging</w:t>
            </w:r>
          </w:p>
        </w:tc>
        <w:tc>
          <w:tcPr>
            <w:tcW w:type="dxa" w:w="415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Gives enough operating capacity to pursue 25-50 accounts without every task bottlenecking on the founder</w:t>
            </w:r>
          </w:p>
        </w:tc>
      </w:tr>
      <w:tr>
        <w:tc>
          <w:tcPr>
            <w:tcW w:type="dxa" w:w="105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$250,000</w:t>
            </w:r>
          </w:p>
        </w:tc>
        <w:tc>
          <w:tcPr>
            <w:tcW w:type="dxa" w:w="4151"/>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Dedicated implementation/customer success capacity, product engineering time, sales development, security/compliance foundation, and 12-month operating discipline</w:t>
            </w:r>
          </w:p>
        </w:tc>
        <w:tc>
          <w:tcPr>
            <w:tcW w:type="dxa" w:w="415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Gives SandPro OMP a real shot at the conservative regional case and lays foundation for the mid case</w:t>
            </w:r>
          </w:p>
        </w:tc>
      </w:tr>
    </w:tbl>
    <w:p>
      <w:pPr>
        <w:spacing w:before="40" w:after="160" w:line="264" w:lineRule="auto"/>
      </w:pPr>
    </w:p>
    <w:p>
      <w:pPr>
        <w:spacing w:before="0" w:after="120" w:line="264" w:lineRule="auto"/>
      </w:pPr>
      <w:r>
        <w:rPr>
          <w:b w:val="0"/>
        </w:rPr>
        <w:t>The clean pitch: capital is not being used to discover whether anyone will pay. The first customer is already paying. Capital is being used to package, prove, and accelerate a repeatable go-to-market motion.</w:t>
      </w:r>
    </w:p>
    <w:p>
      <w:pPr>
        <w:pStyle w:val="Heading1"/>
      </w:pPr>
      <w:r>
        <w:t>Upsell Paths</w:t>
      </w:r>
    </w:p>
    <w:p>
      <w:pPr>
        <w:spacing w:before="0" w:after="120" w:line="264" w:lineRule="auto"/>
      </w:pPr>
      <w:r>
        <w:rPr>
          <w:b w:val="0"/>
        </w:rPr>
        <w:t>The base $599/month product should remain simple. Upsells should be tied to measurable operational value:</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3120"/>
        <w:gridCol w:w="3120"/>
        <w:gridCol w:w="3120"/>
      </w:tblGrid>
      <w:tr>
        <w:tc>
          <w:tcPr>
            <w:tcW w:type="dxa" w:w="2038"/>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Upsell</w:t>
            </w:r>
          </w:p>
        </w:tc>
        <w:tc>
          <w:tcPr>
            <w:tcW w:type="dxa" w:w="3170"/>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Price logic</w:t>
            </w:r>
          </w:p>
        </w:tc>
        <w:tc>
          <w:tcPr>
            <w:tcW w:type="dxa" w:w="4152"/>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Buyer value</w:t>
            </w:r>
          </w:p>
        </w:tc>
      </w:tr>
      <w:tr>
        <w:tc>
          <w:tcPr>
            <w:tcW w:type="dxa" w:w="203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AI executive summaries</w:t>
            </w:r>
          </w:p>
        </w:tc>
        <w:tc>
          <w:tcPr>
            <w:tcW w:type="dxa" w:w="317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$199-$399/month</w:t>
            </w:r>
          </w:p>
        </w:tc>
        <w:tc>
          <w:tcPr>
            <w:tcW w:type="dxa" w:w="415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Weekly summaries of blockers, at-risk objectives, owner follow-up, and leadership priorities</w:t>
            </w:r>
          </w:p>
        </w:tc>
      </w:tr>
      <w:tr>
        <w:tc>
          <w:tcPr>
            <w:tcW w:type="dxa" w:w="203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AI onboarding/documentation</w:t>
            </w:r>
          </w:p>
        </w:tc>
        <w:tc>
          <w:tcPr>
            <w:tcW w:type="dxa" w:w="317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One-time or monthly add-on</w:t>
            </w:r>
          </w:p>
        </w:tc>
        <w:tc>
          <w:tcPr>
            <w:tcW w:type="dxa" w:w="415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Turns company workflows, SOPs, and spreadsheets into usable OMP templates</w:t>
            </w:r>
          </w:p>
        </w:tc>
      </w:tr>
      <w:tr>
        <w:tc>
          <w:tcPr>
            <w:tcW w:type="dxa" w:w="203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Advanced reporting</w:t>
            </w:r>
          </w:p>
        </w:tc>
        <w:tc>
          <w:tcPr>
            <w:tcW w:type="dxa" w:w="317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$199-$599/month</w:t>
            </w:r>
          </w:p>
        </w:tc>
        <w:tc>
          <w:tcPr>
            <w:tcW w:type="dxa" w:w="415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Management reports, KPI packets, department views, CSV exports, board/investor updates</w:t>
            </w:r>
          </w:p>
        </w:tc>
      </w:tr>
      <w:tr>
        <w:tc>
          <w:tcPr>
            <w:tcW w:type="dxa" w:w="203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Integrations</w:t>
            </w:r>
          </w:p>
        </w:tc>
        <w:tc>
          <w:tcPr>
            <w:tcW w:type="dxa" w:w="317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$2,500-$25,000 one-time or managed monthly</w:t>
            </w:r>
          </w:p>
        </w:tc>
        <w:tc>
          <w:tcPr>
            <w:tcW w:type="dxa" w:w="415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Connects OMP to CRM, accounting, scheduling, forms, storage, email, or field systems</w:t>
            </w:r>
          </w:p>
        </w:tc>
      </w:tr>
      <w:tr>
        <w:tc>
          <w:tcPr>
            <w:tcW w:type="dxa" w:w="203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Premium support</w:t>
            </w:r>
          </w:p>
        </w:tc>
        <w:tc>
          <w:tcPr>
            <w:tcW w:type="dxa" w:w="317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$299-$999/month</w:t>
            </w:r>
          </w:p>
        </w:tc>
        <w:tc>
          <w:tcPr>
            <w:tcW w:type="dxa" w:w="415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Faster response, admin help, quarterly workflow reviews, training refreshes</w:t>
            </w:r>
          </w:p>
        </w:tc>
      </w:tr>
      <w:tr>
        <w:tc>
          <w:tcPr>
            <w:tcW w:type="dxa" w:w="203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Multi-location/enterprise</w:t>
            </w:r>
          </w:p>
        </w:tc>
        <w:tc>
          <w:tcPr>
            <w:tcW w:type="dxa" w:w="3170"/>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Custom</w:t>
            </w:r>
          </w:p>
        </w:tc>
        <w:tc>
          <w:tcPr>
            <w:tcW w:type="dxa" w:w="415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Multiple departments, locations, brands, permissions, and executive rollups</w:t>
            </w:r>
          </w:p>
        </w:tc>
      </w:tr>
    </w:tbl>
    <w:p>
      <w:pPr>
        <w:spacing w:before="40" w:after="160" w:line="264" w:lineRule="auto"/>
      </w:pPr>
    </w:p>
    <w:p>
      <w:pPr>
        <w:spacing w:before="0" w:after="120" w:line="264" w:lineRule="auto"/>
      </w:pPr>
      <w:r>
        <w:rPr>
          <w:b w:val="0"/>
        </w:rPr>
        <w:t>The goal is not to nickel-and-dime. The goal is to expand account value only when the customer is getting operational leverage.</w:t>
      </w:r>
    </w:p>
    <w:p>
      <w:pPr>
        <w:pStyle w:val="Heading1"/>
      </w:pPr>
      <w:r>
        <w:t>Risks And Mitigations</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3120"/>
        <w:gridCol w:w="3120"/>
        <w:gridCol w:w="3120"/>
      </w:tblGrid>
      <w:tr>
        <w:tc>
          <w:tcPr>
            <w:tcW w:type="dxa" w:w="2109"/>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Risk</w:t>
            </w:r>
          </w:p>
        </w:tc>
        <w:tc>
          <w:tcPr>
            <w:tcW w:type="dxa" w:w="3625"/>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Why it matters</w:t>
            </w:r>
          </w:p>
        </w:tc>
        <w:tc>
          <w:tcPr>
            <w:tcW w:type="dxa" w:w="3626"/>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Mitigation</w:t>
            </w:r>
          </w:p>
        </w:tc>
      </w:tr>
      <w:tr>
        <w:tc>
          <w:tcPr>
            <w:tcW w:type="dxa" w:w="210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Churn after novelty</w:t>
            </w:r>
          </w:p>
        </w:tc>
        <w:tc>
          <w:tcPr>
            <w:tcW w:type="dxa" w:w="362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Operators may stop using the system if it does not become part of weekly management rhythm</w:t>
            </w:r>
          </w:p>
        </w:tc>
        <w:tc>
          <w:tcPr>
            <w:tcW w:type="dxa" w:w="362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Build onboarding around recurring leadership cadence, not feature tours</w:t>
            </w:r>
          </w:p>
        </w:tc>
      </w:tr>
      <w:tr>
        <w:tc>
          <w:tcPr>
            <w:tcW w:type="dxa" w:w="210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Customization creep</w:t>
            </w:r>
          </w:p>
        </w:tc>
        <w:tc>
          <w:tcPr>
            <w:tcW w:type="dxa" w:w="362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White-label can turn into custom software if boundaries are loose</w:t>
            </w:r>
          </w:p>
        </w:tc>
        <w:tc>
          <w:tcPr>
            <w:tcW w:type="dxa" w:w="362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Define standard branding/workflow package and quote custom work separately</w:t>
            </w:r>
          </w:p>
        </w:tc>
      </w:tr>
      <w:tr>
        <w:tc>
          <w:tcPr>
            <w:tcW w:type="dxa" w:w="210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Support load</w:t>
            </w:r>
          </w:p>
        </w:tc>
        <w:tc>
          <w:tcPr>
            <w:tcW w:type="dxa" w:w="362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 growing customer base can consume the founder quickly</w:t>
            </w:r>
          </w:p>
        </w:tc>
        <w:tc>
          <w:tcPr>
            <w:tcW w:type="dxa" w:w="362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AI triage, knowledge base, support tiers, and hire CS before support becomes reactive</w:t>
            </w:r>
          </w:p>
        </w:tc>
      </w:tr>
      <w:tr>
        <w:tc>
          <w:tcPr>
            <w:tcW w:type="dxa" w:w="210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Product bugs</w:t>
            </w:r>
          </w:p>
        </w:tc>
        <w:tc>
          <w:tcPr>
            <w:tcW w:type="dxa" w:w="362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Early SaaS bugs can hurt trust</w:t>
            </w:r>
          </w:p>
        </w:tc>
        <w:tc>
          <w:tcPr>
            <w:tcW w:type="dxa" w:w="362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Maintain release matrix, smoke tests, regression tests, and customer-facing release notes</w:t>
            </w:r>
          </w:p>
        </w:tc>
      </w:tr>
      <w:tr>
        <w:tc>
          <w:tcPr>
            <w:tcW w:type="dxa" w:w="210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Security expectations</w:t>
            </w:r>
          </w:p>
        </w:tc>
        <w:tc>
          <w:tcPr>
            <w:tcW w:type="dxa" w:w="362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Business data, files, users, and permissions create trust obligations</w:t>
            </w:r>
          </w:p>
        </w:tc>
        <w:tc>
          <w:tcPr>
            <w:tcW w:type="dxa" w:w="362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Standard security packet, access controls, private storage, backups, and vendor questionnaire readiness</w:t>
            </w:r>
          </w:p>
        </w:tc>
      </w:tr>
      <w:tr>
        <w:tc>
          <w:tcPr>
            <w:tcW w:type="dxa" w:w="210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Competition from large platforms</w:t>
            </w:r>
          </w:p>
        </w:tc>
        <w:tc>
          <w:tcPr>
            <w:tcW w:type="dxa" w:w="362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monday.com/Asana/ClickUp/Smartsheet/Jira are powerful and well-funded</w:t>
            </w:r>
          </w:p>
        </w:tc>
        <w:tc>
          <w:tcPr>
            <w:tcW w:type="dxa" w:w="362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Sell practical white-label implementation, local trust, speed, simplicity, and AI-guided operations</w:t>
            </w:r>
          </w:p>
        </w:tc>
      </w:tr>
      <w:tr>
        <w:tc>
          <w:tcPr>
            <w:tcW w:type="dxa" w:w="210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Founder bottleneck</w:t>
            </w:r>
          </w:p>
        </w:tc>
        <w:tc>
          <w:tcPr>
            <w:tcW w:type="dxa" w:w="362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Sales, product, support, and implementation can all route through one person</w:t>
            </w:r>
          </w:p>
        </w:tc>
        <w:tc>
          <w:tcPr>
            <w:tcW w:type="dxa" w:w="362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Use capital to hire implementation/customer success first, supported by AI workflows</w:t>
            </w:r>
          </w:p>
        </w:tc>
      </w:tr>
      <w:tr>
        <w:tc>
          <w:tcPr>
            <w:tcW w:type="dxa" w:w="2109"/>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Weak usage measurement</w:t>
            </w:r>
          </w:p>
        </w:tc>
        <w:tc>
          <w:tcPr>
            <w:tcW w:type="dxa" w:w="3625"/>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Without adoption metrics, renewal risk is harder to see</w:t>
            </w:r>
          </w:p>
        </w:tc>
        <w:tc>
          <w:tcPr>
            <w:tcW w:type="dxa" w:w="362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Track active users, objectives created, check-ins, blockers resolved, comments/files, and leadership views</w:t>
            </w:r>
          </w:p>
        </w:tc>
      </w:tr>
    </w:tbl>
    <w:p>
      <w:pPr>
        <w:spacing w:before="40" w:after="160" w:line="264" w:lineRule="auto"/>
      </w:pPr>
    </w:p>
    <w:p>
      <w:pPr>
        <w:pStyle w:val="Heading1"/>
      </w:pPr>
      <w:r>
        <w:t>The Investor Narrative</w:t>
      </w:r>
    </w:p>
    <w:p>
      <w:pPr>
        <w:spacing w:before="0" w:after="120" w:line="264" w:lineRule="auto"/>
      </w:pPr>
      <w:r>
        <w:rPr>
          <w:b w:val="0"/>
        </w:rPr>
        <w:t>The most credible story is simple:</w:t>
      </w:r>
    </w:p>
    <w:p>
      <w:pPr>
        <w:pStyle w:val="ListNumber"/>
        <w:spacing w:before="0" w:after="80" w:line="280" w:lineRule="auto"/>
      </w:pPr>
      <w:r>
        <w:rPr>
          <w:b w:val="0"/>
        </w:rPr>
        <w:t>SandPro OMP is already real and paid.</w:t>
      </w:r>
    </w:p>
    <w:p>
      <w:pPr>
        <w:pStyle w:val="ListNumber"/>
        <w:spacing w:before="0" w:after="80" w:line="280" w:lineRule="auto"/>
      </w:pPr>
      <w:r>
        <w:rPr>
          <w:b w:val="0"/>
        </w:rPr>
        <w:t>The category is proven by large work-management companies with hundreds of thousands of customers.</w:t>
      </w:r>
    </w:p>
    <w:p>
      <w:pPr>
        <w:pStyle w:val="ListNumber"/>
        <w:spacing w:before="0" w:after="80" w:line="280" w:lineRule="auto"/>
      </w:pPr>
      <w:r>
        <w:rPr>
          <w:b w:val="0"/>
        </w:rPr>
        <w:t>The regional conservative case requires only a microscopic share of reachable employer businesses.</w:t>
      </w:r>
    </w:p>
    <w:p>
      <w:pPr>
        <w:pStyle w:val="ListNumber"/>
        <w:spacing w:before="0" w:after="80" w:line="280" w:lineRule="auto"/>
      </w:pPr>
      <w:r>
        <w:rPr>
          <w:b w:val="0"/>
        </w:rPr>
        <w:t>The product can be white-labeled without becoming custom software every time.</w:t>
      </w:r>
    </w:p>
    <w:p>
      <w:pPr>
        <w:pStyle w:val="ListNumber"/>
        <w:spacing w:before="0" w:after="80" w:line="280" w:lineRule="auto"/>
      </w:pPr>
      <w:r>
        <w:rPr>
          <w:b w:val="0"/>
        </w:rPr>
        <w:t>AI changes the staffing math by letting each employee produce support, onboarding, sales, QA, and implementation output that used to require a larger team.</w:t>
      </w:r>
    </w:p>
    <w:p>
      <w:pPr>
        <w:pStyle w:val="ListNumber"/>
        <w:spacing w:before="0" w:after="80" w:line="280" w:lineRule="auto"/>
      </w:pPr>
      <w:r>
        <w:rPr>
          <w:b w:val="0"/>
        </w:rPr>
        <w:t>Capital would be used to make the business repeatable, not to search blindly for a market.</w:t>
      </w:r>
    </w:p>
    <w:p>
      <w:pPr>
        <w:spacing w:before="0" w:after="120" w:line="264" w:lineRule="auto"/>
      </w:pPr>
      <w:r>
        <w:t>The right tone is controlled ambition: paid proof, modest regional math, clear operating constraints, and a believable path to a much larger business if the repeatable model works.</w:t>
      </w:r>
    </w:p>
    <w:p>
      <w:pPr>
        <w:pStyle w:val="Heading1"/>
      </w:pPr>
      <w:r>
        <w:t>Source Notes</w:t>
      </w:r>
    </w:p>
    <w:p>
      <w:pPr>
        <w:pStyle w:val="ListBullet"/>
        <w:spacing w:before="0" w:after="80" w:line="280" w:lineRule="auto"/>
      </w:pPr>
      <w:r>
        <w:rPr>
          <w:b w:val="0"/>
        </w:rPr>
        <w:t xml:space="preserve">monday.com 2025 annual report: over 250,000 paying customers, $1.232B revenue, and 4,281 customers above $50k ARR. Source: </w:t>
      </w:r>
      <w:hyperlink r:id="rId11">
        <w:r>
          <w:rPr>
            <w:color w:val="0563C1"/>
            <w:u w:val="single"/>
          </w:rPr>
          <w:t>SEC 2025 Form 20-F</w:t>
        </w:r>
      </w:hyperlink>
      <w:r>
        <w:rPr>
          <w:b w:val="0"/>
        </w:rPr>
        <w:t>.</w:t>
      </w:r>
    </w:p>
    <w:p>
      <w:pPr>
        <w:pStyle w:val="ListBullet"/>
        <w:spacing w:before="0" w:after="80" w:line="280" w:lineRule="auto"/>
      </w:pPr>
      <w:r>
        <w:rPr>
          <w:b w:val="0"/>
        </w:rPr>
        <w:t xml:space="preserve">Asana FY2025 results: $723.9M revenue, 24,062 Core customers, and 726 customers above $100k annualized spend. Source: </w:t>
      </w:r>
      <w:hyperlink r:id="rId12">
        <w:r>
          <w:rPr>
            <w:color w:val="0563C1"/>
            <w:u w:val="single"/>
          </w:rPr>
          <w:t>Asana investor release</w:t>
        </w:r>
      </w:hyperlink>
      <w:r>
        <w:rPr>
          <w:b w:val="0"/>
        </w:rPr>
        <w:t>.</w:t>
      </w:r>
    </w:p>
    <w:p>
      <w:pPr>
        <w:pStyle w:val="ListBullet"/>
        <w:spacing w:before="0" w:after="80" w:line="280" w:lineRule="auto"/>
      </w:pPr>
      <w:r>
        <w:rPr>
          <w:b w:val="0"/>
        </w:rPr>
        <w:t xml:space="preserve">Smartsheet FY2024 results: $1.031B ARR, $9,672 average ARR per domain-based customer, 19,818 customers above $5k ARR, and 116% dollar-based net retention. Source: </w:t>
      </w:r>
      <w:hyperlink r:id="rId13">
        <w:r>
          <w:rPr>
            <w:color w:val="0563C1"/>
            <w:u w:val="single"/>
          </w:rPr>
          <w:t>BusinessWire FY2024 release</w:t>
        </w:r>
      </w:hyperlink>
      <w:r>
        <w:rPr>
          <w:b w:val="0"/>
        </w:rPr>
        <w:t>.</w:t>
      </w:r>
    </w:p>
    <w:p>
      <w:pPr>
        <w:pStyle w:val="ListBullet"/>
        <w:spacing w:before="0" w:after="80" w:line="280" w:lineRule="auto"/>
      </w:pPr>
      <w:r>
        <w:rPr>
          <w:b w:val="0"/>
        </w:rPr>
        <w:t xml:space="preserve">Atlassian customer scale and marketplace: 300,000+ customers and 5,700+ marketplace apps. Source: </w:t>
      </w:r>
      <w:hyperlink r:id="rId14">
        <w:r>
          <w:rPr>
            <w:color w:val="0563C1"/>
            <w:u w:val="single"/>
          </w:rPr>
          <w:t>Atlassian company page</w:t>
        </w:r>
      </w:hyperlink>
      <w:r>
        <w:rPr>
          <w:b w:val="0"/>
        </w:rPr>
        <w:t>.</w:t>
      </w:r>
    </w:p>
    <w:p>
      <w:pPr>
        <w:pStyle w:val="ListBullet"/>
        <w:spacing w:before="0" w:after="80" w:line="280" w:lineRule="auto"/>
      </w:pPr>
      <w:r>
        <w:rPr>
          <w:b w:val="0"/>
        </w:rPr>
        <w:t xml:space="preserve">ClickUp customer/team proof: 5M+ teams referenced in customer material. Source: </w:t>
      </w:r>
      <w:hyperlink r:id="rId15">
        <w:r>
          <w:rPr>
            <w:color w:val="0563C1"/>
            <w:u w:val="single"/>
          </w:rPr>
          <w:t>ClickUp customer stories</w:t>
        </w:r>
      </w:hyperlink>
      <w:r>
        <w:rPr>
          <w:b w:val="0"/>
        </w:rPr>
        <w:t>.</w:t>
      </w:r>
    </w:p>
    <w:p>
      <w:pPr>
        <w:pStyle w:val="ListBullet"/>
        <w:spacing w:before="0" w:after="80" w:line="280" w:lineRule="auto"/>
      </w:pPr>
      <w:r>
        <w:rPr>
          <w:b w:val="0"/>
        </w:rPr>
        <w:t xml:space="preserve">Regional small-business counts: SBA 2025 state profiles for </w:t>
      </w:r>
      <w:hyperlink r:id="rId16">
        <w:r>
          <w:rPr>
            <w:color w:val="0563C1"/>
            <w:u w:val="single"/>
          </w:rPr>
          <w:t>North Dakota</w:t>
        </w:r>
      </w:hyperlink>
      <w:r>
        <w:rPr>
          <w:b w:val="0"/>
        </w:rPr>
        <w:t xml:space="preserve">, </w:t>
      </w:r>
      <w:hyperlink r:id="rId17">
        <w:r>
          <w:rPr>
            <w:color w:val="0563C1"/>
            <w:u w:val="single"/>
          </w:rPr>
          <w:t>South Dakota</w:t>
        </w:r>
      </w:hyperlink>
      <w:r>
        <w:rPr>
          <w:b w:val="0"/>
        </w:rPr>
        <w:t xml:space="preserve">, </w:t>
      </w:r>
      <w:hyperlink r:id="rId18">
        <w:r>
          <w:rPr>
            <w:color w:val="0563C1"/>
            <w:u w:val="single"/>
          </w:rPr>
          <w:t>Minnesota</w:t>
        </w:r>
      </w:hyperlink>
      <w:r>
        <w:rPr>
          <w:b w:val="0"/>
        </w:rPr>
        <w:t xml:space="preserve">, and </w:t>
      </w:r>
      <w:hyperlink r:id="rId19">
        <w:r>
          <w:rPr>
            <w:color w:val="0563C1"/>
            <w:u w:val="single"/>
          </w:rPr>
          <w:t>Montana</w:t>
        </w:r>
      </w:hyperlink>
      <w:r>
        <w:rPr>
          <w:b w:val="0"/>
        </w:rPr>
        <w:t>.</w:t>
      </w:r>
    </w:p>
    <w:p>
      <w:pPr>
        <w:pStyle w:val="ListBullet"/>
        <w:spacing w:before="0" w:after="80" w:line="280" w:lineRule="auto"/>
      </w:pPr>
      <w:r>
        <w:rPr>
          <w:b w:val="0"/>
        </w:rPr>
        <w:t xml:space="preserve">Covered establishments: BLS QCEW Table 3, third quarter 2025. Source: </w:t>
      </w:r>
      <w:hyperlink r:id="rId20">
        <w:r>
          <w:rPr>
            <w:color w:val="0563C1"/>
            <w:u w:val="single"/>
          </w:rPr>
          <w:t>BLS covered establishments by state</w:t>
        </w:r>
      </w:hyperlink>
      <w:r>
        <w:rPr>
          <w:b w:val="0"/>
        </w:rPr>
        <w:t>.</w:t>
      </w:r>
    </w:p>
    <w:p>
      <w:pPr>
        <w:pStyle w:val="ListBullet"/>
        <w:spacing w:before="0" w:after="80" w:line="280" w:lineRule="auto"/>
      </w:pPr>
      <w:r>
        <w:rPr>
          <w:b w:val="0"/>
        </w:rPr>
        <w:t xml:space="preserve">AI productivity framing: </w:t>
      </w:r>
      <w:hyperlink r:id="rId21">
        <w:r>
          <w:rPr>
            <w:color w:val="0563C1"/>
            <w:u w:val="single"/>
          </w:rPr>
          <w:t>PwC 2025 Global AI Jobs Barometer</w:t>
        </w:r>
      </w:hyperlink>
      <w:r>
        <w:rPr>
          <w:b w:val="0"/>
        </w:rPr>
        <w:t xml:space="preserve">, </w:t>
      </w:r>
      <w:hyperlink r:id="rId22">
        <w:r>
          <w:rPr>
            <w:color w:val="0563C1"/>
            <w:u w:val="single"/>
          </w:rPr>
          <w:t>Microsoft 2025 Work Trend Index</w:t>
        </w:r>
      </w:hyperlink>
      <w:r>
        <w:rPr>
          <w:b w:val="0"/>
        </w:rPr>
        <w:t xml:space="preserve">, </w:t>
      </w:r>
      <w:hyperlink r:id="rId23">
        <w:r>
          <w:rPr>
            <w:color w:val="0563C1"/>
            <w:u w:val="single"/>
          </w:rPr>
          <w:t>McKinsey economic potential of generative AI</w:t>
        </w:r>
      </w:hyperlink>
      <w:r>
        <w:rPr>
          <w:b w:val="0"/>
        </w:rPr>
        <w:t xml:space="preserve">, and </w:t>
      </w:r>
      <w:hyperlink r:id="rId24">
        <w:r>
          <w:rPr>
            <w:color w:val="0563C1"/>
            <w:u w:val="single"/>
          </w:rPr>
          <w:t>Stanford 2025 AI Index</w:t>
        </w:r>
      </w:hyperlink>
      <w:r>
        <w:rPr>
          <w:b w:val="0"/>
        </w:rPr>
        <w:t>.</w:t>
      </w: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Calibri" w:hAnsi="Calibri"/>
        <w:color w:val="555555"/>
        <w:sz w:val="18"/>
      </w:rPr>
      <w:t xml:space="preserve">Confidential investor discussion | Page </w:t>
    </w:r>
    <w:fldSimple w:instr="PAG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
      <w:rPr>
        <w:rFonts w:ascii="Calibri" w:hAnsi="Calibri"/>
        <w:color w:val="555555"/>
        <w:sz w:val="18"/>
      </w:rPr>
      <w:t>SandPro OMP Investor Case Study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line="264" w:lineRule="auto"/>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line="264" w:lineRule="auto"/>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line="264" w:lineRule="auto"/>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www.sec.gov/Archives/edgar/data/1845338/000117891326000870/zk2634436.htm" TargetMode="External"/><Relationship Id="rId12" Type="http://schemas.openxmlformats.org/officeDocument/2006/relationships/hyperlink" Target="https://investors.asana.com/news-releases/news-release-details/asana-announces-fourth-quarter-and-fiscal-year-2025-results" TargetMode="External"/><Relationship Id="rId13" Type="http://schemas.openxmlformats.org/officeDocument/2006/relationships/hyperlink" Target="https://www.businesswire.com/news/home/20240314815926/en/Smartsheet-Inc.-Announces-Fourth-Quarter-and-Fiscal-Year-2024-Results" TargetMode="External"/><Relationship Id="rId14" Type="http://schemas.openxmlformats.org/officeDocument/2006/relationships/hyperlink" Target="https://www.atlassian.com/company" TargetMode="External"/><Relationship Id="rId15" Type="http://schemas.openxmlformats.org/officeDocument/2006/relationships/hyperlink" Target="https://clickup.com/customers" TargetMode="External"/><Relationship Id="rId16" Type="http://schemas.openxmlformats.org/officeDocument/2006/relationships/hyperlink" Target="https://advocacy.sba.gov/wp-content/uploads/2025/06/North_Dakota_2025-State-Profile.pdf" TargetMode="External"/><Relationship Id="rId17" Type="http://schemas.openxmlformats.org/officeDocument/2006/relationships/hyperlink" Target="https://advocacy.sba.gov/wp-content/uploads/2025/06/South_Dakota_2025-State-Profile.pdf" TargetMode="External"/><Relationship Id="rId18" Type="http://schemas.openxmlformats.org/officeDocument/2006/relationships/hyperlink" Target="https://advocacy.sba.gov/wp-content/uploads/2025/06/Minnesota_2025-State-Profile.pdf" TargetMode="External"/><Relationship Id="rId19" Type="http://schemas.openxmlformats.org/officeDocument/2006/relationships/hyperlink" Target="https://advocacy.sba.gov/wp-content/uploads/2025/06/Montana_2025-State-Profile.pdf" TargetMode="External"/><Relationship Id="rId20" Type="http://schemas.openxmlformats.org/officeDocument/2006/relationships/hyperlink" Target="https://www.bls.gov/news.release/cewqtr.t03.htm" TargetMode="External"/><Relationship Id="rId21" Type="http://schemas.openxmlformats.org/officeDocument/2006/relationships/hyperlink" Target="https://www.pwc.com/gx/en/news-room/press-releases/2025/ai-linked-to-a-fourfold-increase-in-productivity-growth.html" TargetMode="External"/><Relationship Id="rId22" Type="http://schemas.openxmlformats.org/officeDocument/2006/relationships/hyperlink" Target="https://blogs.microsoft.com/blog/2025/04/23/the-2025-annual-work-trend-index-the-frontier-firm-is-born/" TargetMode="External"/><Relationship Id="rId23" Type="http://schemas.openxmlformats.org/officeDocument/2006/relationships/hyperlink" Target="https://www.mckinsey.com/capabilities/tech-and-ai/our-insights/the-economic-potential-of-generative-ai-the-next-productivity-frontier" TargetMode="External"/><Relationship Id="rId24" Type="http://schemas.openxmlformats.org/officeDocument/2006/relationships/hyperlink" Target="https://hai.stanford.edu/ai-index/2025-ai-index-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